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13.020.10</w:t>
      </w:r>
      <w:r>
        <w:fldChar w:fldCharType="end"/>
      </w:r>
      <w:bookmarkEnd w:id="0"/>
    </w:p>
    <w:p>
      <w:pPr>
        <w:pStyle w:val="129"/>
        <w:framePr w:wrap="around"/>
      </w:pPr>
      <w:r>
        <w:rPr>
          <w:rFonts w:hint="eastAsia"/>
        </w:rPr>
        <w:t>CCS Z 04</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29"/>
              <w:framePr w:wrap="around"/>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7"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7zaRgg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c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O82kYINAgAAIAQAAA4AAAAAAAAAAQAg&#10;AAAAJAEAAGRycy9lMm9Eb2MueG1sUEsFBgAAAAAGAAYAWQEAAKMFAAAAAA==&#10;">
                      <v:fill on="t" focussize="0,0"/>
                      <v:stroke on="f"/>
                      <v:imagedata o:title=""/>
                      <o:lock v:ext="edit" aspectratio="f"/>
                    </v:rect>
                  </w:pict>
                </mc:Fallback>
              </mc:AlternateContent>
            </w:r>
          </w:p>
        </w:tc>
      </w:tr>
    </w:tbl>
    <w:p>
      <w:pPr>
        <w:pStyle w:val="127"/>
        <w:framePr w:wrap="around"/>
        <w:rPr>
          <w:rFonts w:ascii="Times New Roman" w:hAnsi="Times New Roman"/>
        </w:rPr>
      </w:pPr>
      <w:bookmarkStart w:id="1" w:name="c1"/>
      <w:r>
        <w:rPr>
          <w:rFonts w:ascii="Times New Roman" w:hAnsi="Times New Roman"/>
        </w:rPr>
        <w:fldChar w:fldCharType="begin">
          <w:ffData>
            <w:name w:val="c1"/>
            <w:enabled/>
            <w:calcOnExit w:val="0"/>
            <w:textInput>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FZ</w:t>
      </w:r>
      <w:r>
        <w:rPr>
          <w:rFonts w:ascii="Times New Roman" w:hAnsi="Times New Roman"/>
        </w:rPr>
        <w:fldChar w:fldCharType="end"/>
      </w:r>
      <w:bookmarkEnd w:id="1"/>
    </w:p>
    <w:p>
      <w:pPr>
        <w:pStyle w:val="175"/>
        <w:framePr w:wrap="around"/>
      </w:pPr>
      <w:r>
        <w:rPr>
          <w:rFonts w:hint="eastAsia"/>
        </w:rPr>
        <w:t>中华人民共和国</w:t>
      </w:r>
      <w:bookmarkStart w:id="2" w:name="c2"/>
      <w:r>
        <w:fldChar w:fldCharType="begin">
          <w:ffData>
            <w:name w:val="c2"/>
            <w:enabled/>
            <w:calcOnExit w:val="0"/>
            <w:textInput/>
          </w:ffData>
        </w:fldChar>
      </w:r>
      <w:r>
        <w:instrText xml:space="preserve"> FORMTEXT </w:instrText>
      </w:r>
      <w:r>
        <w:fldChar w:fldCharType="separate"/>
      </w:r>
      <w:r>
        <w:rPr>
          <w:rFonts w:hint="eastAsia"/>
        </w:rPr>
        <w:t>纺织</w:t>
      </w:r>
      <w:r>
        <w:fldChar w:fldCharType="end"/>
      </w:r>
      <w:bookmarkEnd w:id="2"/>
      <w:r>
        <w:rPr>
          <w:rFonts w:hint="eastAsia"/>
        </w:rPr>
        <w:t>行业标准</w:t>
      </w:r>
    </w:p>
    <w:p>
      <w:pPr>
        <w:pStyle w:val="140"/>
        <w:framePr w:wrap="around"/>
        <w:rPr>
          <w:rFonts w:hAnsi="黑体"/>
        </w:rPr>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FZ</w:t>
      </w:r>
      <w:r>
        <w:rPr>
          <w:rFonts w:ascii="Times New Roman"/>
        </w:rPr>
        <w:fldChar w:fldCharType="end"/>
      </w:r>
      <w:bookmarkEnd w:id="3"/>
      <w:r>
        <w:rPr>
          <w:rFonts w:ascii="Times New Roman"/>
        </w:rPr>
        <w:t>/T XXXXX</w:t>
      </w:r>
      <w:r>
        <w:rPr>
          <w:rFonts w:hAnsi="黑体"/>
        </w:rPr>
        <w:t>—</w:t>
      </w:r>
      <w:r>
        <w:rPr>
          <w:rFonts w:hint="eastAsia" w:hAnsi="黑体"/>
        </w:rPr>
        <w:t>20</w:t>
      </w:r>
      <w:r>
        <w:rPr>
          <w:rFonts w:hAnsi="黑体"/>
        </w:rPr>
        <w:t>XX</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60"/>
              <w:framePr w:wrap="around"/>
            </w:pPr>
            <w:bookmarkStart w:id="4"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635" t="0" r="0" b="3810"/>
                      <wp:wrapNone/>
                      <wp:docPr id="6"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D0rnsJAgAAIAQAAA4AAABkcnMvZTJvRG9jLnhtbK1TwW7b&#10;MAy9D9g/CLovtrMs64w4RZEgw4BuLdD2AxRZtoXJokYpcbKvHyWnWdpdepgPBimST3yP1OL60Bu2&#10;V+g12IoXk5wzZSXU2rYVf3rcfLjizAdha2HAqooflefXy/fvFoMr1RQ6MLVCRiDWl4OreBeCK7PM&#10;y071wk/AKUvBBrAXgVxssxrFQOi9yaZ5Ps8GwNohSOU9na7HID8h4lsAoWm0VGuQu17ZMKKiMiIQ&#10;Jd9p5/kydds0Soa7pvEqMFNxYhrSny4hexv/2XIhyhaF67Q8tSDe0sIrTr3Qli49Q61FEGyH+h+o&#10;XksED02YSOizkUhShFgU+SttHjrhVOJCUnt3Ft3/P1j5Y3+PTNcVn3NmRU8DXz9GVQbnSwo+uHuM&#10;vLy7BfnTMwurTthW3SDC0ClRUy9FzM9eFETHUynbDt+hJlCxC5AEOjTYR0Cizg5pDsfzHNQhMEmH&#10;RTH7mOc0Ikmx6fRqTna8QpTP1Q59+KqgZ9GoONKcE7rY3/owpj6npO7B6HqjjUkOttuVQbYXtBOb&#10;9J3Q/WWasTHZQiwbEeNJohmZjQptoT4SS4RxsehZkdEB/uZsoKWquP+1E6g4M98sKfWlmM3iFiZn&#10;9unzlBy8jGwvI8JKgqp44Gw0V2Hc3J1D3XZ0U5FIW7ghdRudiEflx65OzdLiJOlOSx4389JPWX8f&#10;9v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ID0rnsJAgAAIAQAAA4AAAAAAAAAAQAgAAAA&#10;JQEAAGRycy9lMm9Eb2MueG1sUEsFBgAAAAAGAAYAWQEAAKAFAAAAAA==&#10;">
                      <v:fill on="t" focussize="0,0"/>
                      <v:stroke on="f"/>
                      <v:imagedata o:title=""/>
                      <o:lock v:ext="edit" aspectratio="f"/>
                    </v:rect>
                  </w:pict>
                </mc:Fallback>
              </mc:AlternateContent>
            </w:r>
            <w:bookmarkEnd w:id="4"/>
          </w:p>
        </w:tc>
      </w:tr>
    </w:tbl>
    <w:p>
      <w:pPr>
        <w:pStyle w:val="140"/>
        <w:framePr w:wrap="around"/>
        <w:rPr>
          <w:rFonts w:hAnsi="黑体"/>
        </w:rPr>
      </w:pPr>
    </w:p>
    <w:p>
      <w:pPr>
        <w:pStyle w:val="140"/>
        <w:framePr w:wrap="around"/>
        <w:rPr>
          <w:rFonts w:hAnsi="黑体"/>
        </w:rPr>
      </w:pPr>
    </w:p>
    <w:p>
      <w:pPr>
        <w:pStyle w:val="86"/>
        <w:framePr w:wrap="around" w:x="1321" w:y="6371"/>
        <w:rPr>
          <w:sz w:val="48"/>
          <w:szCs w:val="48"/>
        </w:rPr>
      </w:pPr>
      <w:r>
        <w:rPr>
          <w:rFonts w:hint="eastAsia" w:ascii="Times New Roman"/>
          <w:sz w:val="48"/>
          <w:szCs w:val="48"/>
        </w:rPr>
        <w:t>节水型企业 化学纤维行业 第1部分: 聚酯涤纶</w:t>
      </w:r>
    </w:p>
    <w:p>
      <w:pPr>
        <w:pStyle w:val="85"/>
        <w:framePr w:wrap="around" w:x="1321" w:y="6371"/>
        <w:rPr>
          <w:rFonts w:ascii="黑体" w:hAnsi="黑体"/>
        </w:rPr>
      </w:pPr>
      <w:r>
        <w:rPr>
          <w:rFonts w:ascii="黑体" w:hAnsi="黑体"/>
        </w:rPr>
        <w:t>Water saving enterprises-</w:t>
      </w:r>
      <w:r>
        <w:rPr>
          <w:rFonts w:hint="eastAsia" w:ascii="黑体" w:hAnsi="黑体"/>
        </w:rPr>
        <w:t xml:space="preserve"> </w:t>
      </w:r>
      <w:r>
        <w:rPr>
          <w:rFonts w:ascii="黑体" w:hAnsi="黑体"/>
        </w:rPr>
        <w:t>Chemical fiber industry part1: polyester</w:t>
      </w:r>
    </w:p>
    <w:p>
      <w:pPr>
        <w:pStyle w:val="85"/>
        <w:framePr w:wrap="around" w:x="1321" w:y="6371"/>
      </w:pPr>
      <w:r>
        <w:rPr>
          <w:rFonts w:hint="eastAsia"/>
        </w:rPr>
        <w:t>（征求意见稿）</w:t>
      </w:r>
    </w:p>
    <w:p>
      <w:pPr>
        <w:pStyle w:val="163"/>
        <w:framePr w:wrap="around" w:hAnchor="page" w:x="1401" w:y="14141"/>
      </w:pPr>
      <w:r>
        <w:rPr>
          <w:rFonts w:hint="eastAsia" w:ascii="黑体"/>
        </w:rPr>
        <w:t>XXXX</w:t>
      </w:r>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5"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r>
        <mc:AlternateContent>
          <mc:Choice Requires="wps">
            <w:drawing>
              <wp:anchor distT="0" distB="0" distL="114300" distR="114300" simplePos="0" relativeHeight="251662336" behindDoc="0" locked="1" layoutInCell="1" allowOverlap="1">
                <wp:simplePos x="0" y="0"/>
                <wp:positionH relativeFrom="column">
                  <wp:posOffset>-161925</wp:posOffset>
                </wp:positionH>
                <wp:positionV relativeFrom="page">
                  <wp:posOffset>9302750</wp:posOffset>
                </wp:positionV>
                <wp:extent cx="6120130" cy="0"/>
                <wp:effectExtent l="8890" t="12700" r="5080" b="6350"/>
                <wp:wrapNone/>
                <wp:docPr id="5" name="直线 1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6" o:spid="_x0000_s1026" o:spt="20" style="position:absolute;left:0pt;margin-left:-12.75pt;margin-top:732.5pt;height:0pt;width:481.9pt;mso-position-vertical-relative:page;z-index:251662336;mso-width-relative:page;mso-height-relative:page;" filled="f" stroked="t" coordsize="21600,21600" o:gfxdata="UEsDBAoAAAAAAIdO4kAAAAAAAAAAAAAAAAAEAAAAZHJzL1BLAwQUAAAACACHTuJA9wtC8NgAAAAN&#10;AQAADwAAAGRycy9kb3ducmV2LnhtbE2PzU7DMBCE70i8g7VIXKrWbkKqNsTpAciNCwXU6zZekojY&#10;TmP3B56e5VDBcWc+zc4U67PtxZHG0HmnYT5TIMjV3nSu0fD2Wk2XIEJEZ7D3jjR8UYB1eX1VYG78&#10;yb3QcRMbwSEu5KihjXHIpQx1SxbDzA/k2Pvwo8XI59hIM+KJw20vE6UW0mLn+EOLAz20VH9uDlZD&#10;qN5pX31P6onapo2nZP/4/IRa397M1T2ISOf4B8Nvfa4OJXfa+YMzQfQapkmWMcrG3SLjVYys0mUK&#10;YneRZFnI/yvKH1BLAwQUAAAACACHTuJArPFy9tYBAACiAwAADgAAAGRycy9lMm9Eb2MueG1srVNL&#10;btswEN0X6B0I7mvZLmy0guUsbKSbtDWQ5ABjipKIkhyCpC35LL1GV930OLlGh5Ttpukmi2pBcH5v&#10;5r2hVjeD0ewofVBoKz6bTDmTVmCtbFvxx4fbdx84CxFsDRqtrPhJBn6zfvtm1btSzrFDXUvPCMSG&#10;sncV72J0ZVEE0UkDYYJOWgo26A1EMn1b1B56Qje6mE+ny6JHXzuPQoZA3u0Y5GdE/xpAbBol5BbF&#10;wUgbR1QvNUSiFDrlAl/naZtGivi1aYKMTFecmMZ8UhO679NZrFdQth5cp8R5BHjNCC84GVCWml6h&#10;thCBHbz6B8oo4TFgEycCTTESyYoQi9n0hTb3HTiZuZDUwV1FD/8PVnw57jxTdcUXnFkwtPCn7z+e&#10;fv5is2USp3ehpJyN3flETwz23t2h+BaYxU0HtpV5yIeTo8pZqij+KklGcNRi33/GmnLgEDErNTTe&#10;JEjSgA15IafrQuQQmSDnckaqvKddiUusgPJS6HyInyQali4V18omraCE412IaRAoLynJbfFWaZ33&#10;rS3rK/5xMV/kgoBa1SmY0oJv9xvt2RHSi8lfZkWR52keD7Yem2h7Jp14jortsT7t/EUMWl2e5vzM&#10;0tt4bufqP7/W+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3C0Lw2AAAAA0BAAAPAAAAAAAAAAEA&#10;IAAAACIAAABkcnMvZG93bnJldi54bWxQSwECFAAUAAAACACHTuJArPFy9tYBAACiAwAADgAAAAAA&#10;AAABACAAAAAnAQAAZHJzL2Uyb0RvYy54bWxQSwUGAAAAAAYABgBZAQAAbwUAAAAA&#10;">
                <v:fill on="f" focussize="0,0"/>
                <v:stroke color="#000000" joinstyle="round"/>
                <v:imagedata o:title=""/>
                <o:lock v:ext="edit" aspectratio="f"/>
                <w10:anchorlock/>
              </v:line>
            </w:pict>
          </mc:Fallback>
        </mc:AlternateContent>
      </w:r>
    </w:p>
    <w:p>
      <w:pPr>
        <w:pStyle w:val="134"/>
        <w:framePr w:wrap="around" w:hAnchor="page" w:x="6571" w:y="14081"/>
      </w:pPr>
      <w:bookmarkStart w:id="6"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bookmarkStart w:id="7"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bookmarkStart w:id="8"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pPr>
        <w:pStyle w:val="87"/>
        <w:framePr w:wrap="around"/>
      </w:pPr>
      <w:bookmarkStart w:id="9" w:name="fm"/>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9"/>
      <w:r>
        <w:rPr>
          <w:rFonts w:hAnsi="黑体"/>
        </w:rPr>
        <w:t>  </w:t>
      </w:r>
      <w:r>
        <w:rPr>
          <w:rStyle w:val="70"/>
          <w:rFonts w:hint="eastAsia"/>
        </w:rPr>
        <w:t>发布</w:t>
      </w:r>
    </w:p>
    <w:p>
      <w:pPr>
        <w:pStyle w:val="87"/>
        <w:framePr w:h="556" w:hRule="exact" w:wrap="around" w:x="2171" w:y="14851"/>
        <w:rPr>
          <w:color w:val="000000"/>
        </w:rPr>
      </w:pPr>
    </w:p>
    <w:tbl>
      <w:tblPr>
        <w:tblStyle w:val="39"/>
        <w:tblpPr w:leftFromText="180" w:rightFromText="180" w:horzAnchor="margin" w:tblpY="1"/>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83"/>
              <w:framePr w:wrap="auto" w:vAnchor="margin" w:hAnchor="text" w:yAlign="inline"/>
            </w:pPr>
            <w:r>
              <w:rPr>
                <w:rFonts w:hint="eastAsia"/>
              </w:rPr>
              <w:t>（草稿）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12"/>
              <w:framePr w:wrap="auto" w:vAnchor="margin" w:hAnchor="text" w:yAlign="inline"/>
            </w:pPr>
          </w:p>
        </w:tc>
      </w:tr>
    </w:tbl>
    <w:p>
      <w:pPr>
        <w:pStyle w:val="28"/>
        <w:rPr>
          <w:color w:val="000000"/>
        </w:rPr>
        <w:sectPr>
          <w:pgSz w:w="11906" w:h="16838"/>
          <w:pgMar w:top="567" w:right="850" w:bottom="1134" w:left="1418" w:header="0" w:footer="0" w:gutter="0"/>
          <w:pgNumType w:start="1"/>
          <w:cols w:space="720" w:num="1"/>
          <w:docGrid w:type="lines" w:linePitch="312" w:charSpace="0"/>
        </w:sectPr>
      </w:pPr>
      <w:r>
        <w:rPr>
          <w:color w:val="000000"/>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3" name="直线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mCNRd1gEAAKIDAAAOAAAAZHJzL2Uyb0RvYy54bWytU0Fu&#10;2zAQvBfoHwjea1kOErSC5RxspJe0NZD0ATRFSURJLsGlLfkt/UZPvfQ5+UaXlO026SWH6kCQu7PD&#10;nVlqeTtaww4qoAZX83I250w5CY12Xc2/Pt69e88ZRuEaYcCpmh8V8tvV2zfLwVdqAT2YRgVGJA6r&#10;wde8j9FXRYGyV1bgDLxylGwhWBHpGLqiCWIgdmuKxXx+UwwQGh9AKkSKbqYkPzGG1xBC22qpNiD3&#10;Vrk4sQZlRCRJ2GuPfJW7bVsl45e2RRWZqTkpjXmlS2i/S2uxWoqqC8L3Wp5aEK9p4YUmK7SjSy9U&#10;GxEF2wf9D5XVMgBCG2cSbDEJyY6QinL+wpuHXniVtZDV6C+m4/+jlZ8P28B0U/MrzpywNPCn7z+e&#10;fv5iZZnMGTxWhFm7bUjy5Oge/D3Ib8gcrHvhOpWbfDx6qswVxbOSdEBPV+yGT9AQRuwjZKfGNthE&#10;SR6wMQ/keBmIGiOTFLwpyZUrmpU85wpRnQt9wPhRgWVpU3OjXfJKVOJwj5FaJ+gZksIO7rQxed7G&#10;saHmH64X17kAwegmJRMMQ7dbm8AOIr2Y/CUfiOwZLMDeNVPcOEqfdU6O7aA5bkNKpziNLhOcnll6&#10;G3+fM+rPr7X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JB4l/XAAAACQEAAA8AAAAAAAAAAQAg&#10;AAAAIgAAAGRycy9kb3ducmV2LnhtbFBLAQIUABQAAAAIAIdO4kBmCNRd1gEAAKIDAAAOAAAAAAAA&#10;AAEAIAAAACYBAABkcnMvZTJvRG9jLnhtbFBLBQYAAAAABgAGAFkBAABuBQAAAAA=&#10;">
                <v:fill on="f" focussize="0,0"/>
                <v:stroke color="#000000" joinstyle="round"/>
                <v:imagedata o:title=""/>
                <o:lock v:ext="edit" aspectratio="f"/>
              </v:line>
            </w:pict>
          </mc:Fallback>
        </mc:AlternateContent>
      </w:r>
    </w:p>
    <w:p>
      <w:pPr>
        <w:pStyle w:val="119"/>
        <w:rPr>
          <w:color w:val="000000"/>
        </w:rPr>
      </w:pPr>
      <w:bookmarkStart w:id="10" w:name="_Toc20236117"/>
      <w:bookmarkStart w:id="11" w:name="_Toc19028815"/>
      <w:bookmarkStart w:id="12" w:name="_Toc20485883"/>
      <w:bookmarkStart w:id="13" w:name="_Toc22143356"/>
      <w:bookmarkStart w:id="14" w:name="_Toc18676014"/>
      <w:bookmarkStart w:id="15" w:name="_Toc51160057"/>
      <w:bookmarkStart w:id="16" w:name="_Toc20663437"/>
      <w:bookmarkStart w:id="17" w:name="_Toc18675948"/>
      <w:bookmarkStart w:id="18" w:name="_Toc20499439"/>
      <w:bookmarkStart w:id="19" w:name="_Toc42524654"/>
      <w:bookmarkStart w:id="20" w:name="_Toc18675198"/>
      <w:bookmarkStart w:id="21" w:name="_Toc51160102"/>
      <w:bookmarkStart w:id="22" w:name="_Toc42524583"/>
      <w:bookmarkStart w:id="23" w:name="_Toc18675438"/>
      <w:bookmarkStart w:id="24" w:name="_Toc19028958"/>
      <w:r>
        <w:rPr>
          <w:rFonts w:hint="eastAsia" w:ascii="Times New Roman"/>
          <w:color w:val="000000"/>
        </w:rPr>
        <w:t>前</w:t>
      </w:r>
      <w:bookmarkStart w:id="25" w:name="BKQY"/>
      <w:r>
        <w:rPr>
          <w:rFonts w:ascii="Times New Roman"/>
          <w:color w:val="000000"/>
        </w:rPr>
        <w:t>  </w:t>
      </w:r>
      <w:r>
        <w:rPr>
          <w:rFonts w:hint="eastAsia" w:ascii="Times New Roman"/>
          <w:color w:val="000000"/>
        </w:rPr>
        <w:t>言</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28"/>
        <w:rPr>
          <w:rFonts w:cs="宋体"/>
          <w:color w:val="000000"/>
        </w:rPr>
      </w:pPr>
      <w:r>
        <w:rPr>
          <w:rFonts w:hint="eastAsia" w:cs="宋体"/>
          <w:color w:val="000000"/>
        </w:rPr>
        <w:t>本文件按照GB/T 1.1-</w:t>
      </w:r>
      <w:r>
        <w:rPr>
          <w:rFonts w:cs="宋体"/>
          <w:color w:val="000000"/>
        </w:rPr>
        <w:t>2020</w:t>
      </w:r>
      <w:r>
        <w:rPr>
          <w:rFonts w:hint="eastAsia" w:cs="宋体"/>
          <w:color w:val="000000"/>
        </w:rPr>
        <w:t xml:space="preserve">《标准化工作导则 </w:t>
      </w:r>
      <w:r>
        <w:rPr>
          <w:rFonts w:cs="宋体"/>
          <w:color w:val="000000"/>
        </w:rPr>
        <w:t xml:space="preserve"> </w:t>
      </w:r>
      <w:r>
        <w:rPr>
          <w:rFonts w:hint="eastAsia" w:cs="宋体"/>
          <w:color w:val="000000"/>
        </w:rPr>
        <w:t>第1部分：标准化文件的结构和起草规则》的规定起草。</w:t>
      </w:r>
    </w:p>
    <w:p>
      <w:pPr>
        <w:pStyle w:val="28"/>
        <w:rPr>
          <w:rFonts w:cs="宋体"/>
          <w:color w:val="000000"/>
        </w:rPr>
      </w:pPr>
      <w:r>
        <w:rPr>
          <w:rFonts w:hint="eastAsia" w:cs="宋体"/>
          <w:color w:val="000000"/>
        </w:rPr>
        <w:t>请注意本文件的某些内容可能涉及专利。本文件的发布机构不承担识别专利的责任。</w:t>
      </w:r>
    </w:p>
    <w:p>
      <w:pPr>
        <w:pStyle w:val="28"/>
        <w:rPr>
          <w:rFonts w:cs="宋体"/>
          <w:color w:val="000000"/>
        </w:rPr>
      </w:pPr>
      <w:r>
        <w:rPr>
          <w:rFonts w:hint="eastAsia" w:cs="宋体"/>
          <w:color w:val="000000"/>
        </w:rPr>
        <w:t>本文件由中国纺织工业联合会提出并归口。</w:t>
      </w:r>
    </w:p>
    <w:p>
      <w:pPr>
        <w:pStyle w:val="28"/>
        <w:rPr>
          <w:rFonts w:cs="宋体"/>
          <w:color w:val="000000"/>
        </w:rPr>
      </w:pPr>
    </w:p>
    <w:p>
      <w:pPr>
        <w:pStyle w:val="28"/>
        <w:rPr>
          <w:rFonts w:cs="宋体"/>
          <w:color w:val="000000"/>
        </w:rPr>
      </w:pPr>
      <w:r>
        <w:rPr>
          <w:rFonts w:hint="eastAsia" w:cs="宋体"/>
          <w:color w:val="000000"/>
        </w:rPr>
        <w:t>本文件起草单位：。</w:t>
      </w:r>
    </w:p>
    <w:p>
      <w:pPr>
        <w:pStyle w:val="28"/>
        <w:rPr>
          <w:rFonts w:cs="宋体"/>
          <w:color w:val="000000"/>
        </w:rPr>
      </w:pPr>
      <w:r>
        <w:rPr>
          <w:rFonts w:cs="宋体"/>
          <w:color w:val="000000"/>
        </w:rPr>
        <w:t>本</w:t>
      </w:r>
      <w:r>
        <w:rPr>
          <w:rFonts w:hint="eastAsia" w:cs="宋体"/>
          <w:color w:val="000000"/>
        </w:rPr>
        <w:t>文件</w:t>
      </w:r>
      <w:r>
        <w:rPr>
          <w:rFonts w:cs="宋体"/>
          <w:color w:val="000000"/>
        </w:rPr>
        <w:t>主要起草人：</w:t>
      </w:r>
      <w:r>
        <w:rPr>
          <w:rFonts w:hint="eastAsia" w:cs="宋体"/>
          <w:color w:val="000000"/>
        </w:rPr>
        <w:t>。</w:t>
      </w:r>
    </w:p>
    <w:p>
      <w:pPr>
        <w:pStyle w:val="28"/>
        <w:rPr>
          <w:rFonts w:cs="宋体"/>
          <w:color w:val="000000"/>
        </w:rPr>
      </w:pPr>
    </w:p>
    <w:p>
      <w:pPr>
        <w:pStyle w:val="28"/>
        <w:rPr>
          <w:rFonts w:cs="宋体"/>
          <w:color w:val="000000"/>
        </w:rPr>
        <w:sectPr>
          <w:footerReference r:id="rId3" w:type="default"/>
          <w:pgSz w:w="11906" w:h="16838"/>
          <w:pgMar w:top="567" w:right="1134" w:bottom="1134" w:left="1418" w:header="1418" w:footer="1134" w:gutter="0"/>
          <w:pgNumType w:fmt="upperRoman" w:start="1"/>
          <w:cols w:space="720" w:num="1"/>
          <w:formProt w:val="0"/>
          <w:docGrid w:type="lines" w:linePitch="312" w:charSpace="0"/>
        </w:sectPr>
      </w:pPr>
    </w:p>
    <w:p>
      <w:pPr>
        <w:pStyle w:val="150"/>
        <w:rPr>
          <w:color w:val="000000"/>
        </w:rPr>
      </w:pPr>
      <w:bookmarkStart w:id="26" w:name="_Toc21965172"/>
      <w:bookmarkStart w:id="27" w:name="_Toc22037059"/>
      <w:bookmarkStart w:id="28" w:name="StandardName"/>
      <w:bookmarkStart w:id="29" w:name="_Toc22036809"/>
      <w:bookmarkStart w:id="30" w:name="_Toc22143357"/>
      <w:bookmarkStart w:id="31" w:name="_Toc51160104"/>
      <w:bookmarkStart w:id="32" w:name="_Toc51160059"/>
      <w:r>
        <w:rPr>
          <w:rFonts w:hint="eastAsia"/>
          <w:color w:val="000000"/>
        </w:rPr>
        <w:t xml:space="preserve">节水型企业 </w:t>
      </w:r>
      <w:bookmarkEnd w:id="26"/>
      <w:bookmarkEnd w:id="27"/>
      <w:bookmarkEnd w:id="28"/>
      <w:bookmarkEnd w:id="29"/>
      <w:bookmarkEnd w:id="30"/>
      <w:r>
        <w:rPr>
          <w:color w:val="000000"/>
        </w:rPr>
        <w:t xml:space="preserve"> </w:t>
      </w:r>
      <w:r>
        <w:rPr>
          <w:rFonts w:hint="eastAsia"/>
          <w:color w:val="000000"/>
        </w:rPr>
        <w:t>化学纤维行业</w:t>
      </w:r>
      <w:bookmarkEnd w:id="31"/>
      <w:bookmarkEnd w:id="32"/>
      <w:r>
        <w:rPr>
          <w:rFonts w:hint="eastAsia"/>
          <w:color w:val="000000"/>
        </w:rPr>
        <w:t xml:space="preserve"> 第1部分：聚酯涤纶</w:t>
      </w:r>
    </w:p>
    <w:p>
      <w:pPr>
        <w:pStyle w:val="132"/>
        <w:rPr>
          <w:color w:val="000000"/>
        </w:rPr>
      </w:pPr>
      <w:bookmarkStart w:id="33" w:name="_Toc18675201"/>
      <w:bookmarkEnd w:id="33"/>
      <w:bookmarkStart w:id="34" w:name="_Toc20663438"/>
      <w:bookmarkStart w:id="35" w:name="_Toc51160105"/>
      <w:bookmarkStart w:id="36" w:name="_Toc20499440"/>
      <w:bookmarkStart w:id="37" w:name="_Toc22143358"/>
      <w:bookmarkStart w:id="38" w:name="_Toc20236118"/>
      <w:bookmarkStart w:id="39" w:name="_Toc42524655"/>
      <w:bookmarkStart w:id="40" w:name="_Toc18675949"/>
      <w:bookmarkStart w:id="41" w:name="_Toc18675439"/>
      <w:bookmarkStart w:id="42" w:name="_Toc18676015"/>
      <w:bookmarkStart w:id="43" w:name="_Toc19028816"/>
      <w:bookmarkStart w:id="44" w:name="_Toc19028959"/>
      <w:bookmarkStart w:id="45" w:name="_Toc42524584"/>
      <w:bookmarkStart w:id="46" w:name="_Toc20485884"/>
      <w:r>
        <w:rPr>
          <w:rFonts w:hint="eastAsia"/>
          <w:color w:val="000000"/>
        </w:rPr>
        <w:t>范围</w:t>
      </w:r>
      <w:bookmarkEnd w:id="34"/>
      <w:bookmarkEnd w:id="35"/>
      <w:bookmarkEnd w:id="36"/>
      <w:bookmarkEnd w:id="37"/>
      <w:bookmarkEnd w:id="38"/>
      <w:bookmarkEnd w:id="39"/>
      <w:bookmarkEnd w:id="40"/>
      <w:bookmarkEnd w:id="41"/>
      <w:bookmarkEnd w:id="42"/>
      <w:bookmarkEnd w:id="43"/>
      <w:bookmarkEnd w:id="44"/>
      <w:bookmarkEnd w:id="45"/>
      <w:bookmarkEnd w:id="46"/>
    </w:p>
    <w:p>
      <w:pPr>
        <w:pStyle w:val="28"/>
        <w:rPr>
          <w:color w:val="000000"/>
          <w:szCs w:val="22"/>
        </w:rPr>
      </w:pPr>
      <w:bookmarkStart w:id="47" w:name="_Toc18675440"/>
      <w:bookmarkStart w:id="48" w:name="_Toc20236119"/>
      <w:bookmarkStart w:id="49" w:name="_Toc22143359"/>
      <w:bookmarkStart w:id="50" w:name="_Toc20663439"/>
      <w:bookmarkStart w:id="51" w:name="_Toc20499441"/>
      <w:bookmarkStart w:id="52" w:name="_Toc19028960"/>
      <w:bookmarkStart w:id="53" w:name="_Toc20485885"/>
      <w:bookmarkStart w:id="54" w:name="_Toc18675950"/>
      <w:bookmarkStart w:id="55" w:name="_Toc18676016"/>
      <w:bookmarkStart w:id="56" w:name="_Toc19028817"/>
      <w:r>
        <w:rPr>
          <w:rFonts w:hint="eastAsia"/>
          <w:color w:val="000000"/>
          <w:szCs w:val="22"/>
        </w:rPr>
        <w:t>本文件规定了聚酯涤纶行业节水型企业评价的相关术语和定义、评价指标体系及要求。</w:t>
      </w:r>
    </w:p>
    <w:p>
      <w:pPr>
        <w:pStyle w:val="28"/>
        <w:rPr>
          <w:color w:val="000000"/>
          <w:szCs w:val="22"/>
        </w:rPr>
      </w:pPr>
      <w:bookmarkStart w:id="57" w:name="OLE_LINK13"/>
      <w:bookmarkStart w:id="58" w:name="OLE_LINK14"/>
      <w:r>
        <w:rPr>
          <w:rFonts w:hint="eastAsia"/>
          <w:color w:val="000000"/>
          <w:szCs w:val="22"/>
        </w:rPr>
        <w:t>本文件适用于</w:t>
      </w:r>
      <w:bookmarkStart w:id="59" w:name="OLE_LINK7"/>
      <w:bookmarkStart w:id="60" w:name="OLE_LINK6"/>
      <w:r>
        <w:rPr>
          <w:rFonts w:hint="eastAsia"/>
          <w:color w:val="000000"/>
          <w:szCs w:val="22"/>
        </w:rPr>
        <w:t>聚酯涤纶生产企业的节水评价工作。</w:t>
      </w:r>
      <w:bookmarkEnd w:id="57"/>
      <w:bookmarkEnd w:id="58"/>
      <w:bookmarkEnd w:id="59"/>
      <w:bookmarkEnd w:id="60"/>
    </w:p>
    <w:p>
      <w:pPr>
        <w:pStyle w:val="132"/>
        <w:rPr>
          <w:color w:val="000000"/>
        </w:rPr>
      </w:pPr>
      <w:bookmarkStart w:id="61" w:name="_Toc42524585"/>
      <w:bookmarkStart w:id="62" w:name="_Toc51160106"/>
      <w:bookmarkStart w:id="63" w:name="_Toc42524656"/>
      <w:r>
        <w:rPr>
          <w:rFonts w:hint="eastAsia"/>
          <w:color w:val="000000"/>
        </w:rPr>
        <w:t>规范性引用文件</w:t>
      </w:r>
      <w:bookmarkEnd w:id="47"/>
      <w:bookmarkEnd w:id="48"/>
      <w:bookmarkEnd w:id="49"/>
      <w:bookmarkEnd w:id="50"/>
      <w:bookmarkEnd w:id="51"/>
      <w:bookmarkEnd w:id="52"/>
      <w:bookmarkEnd w:id="53"/>
      <w:bookmarkEnd w:id="54"/>
      <w:bookmarkEnd w:id="55"/>
      <w:bookmarkEnd w:id="56"/>
      <w:bookmarkEnd w:id="61"/>
      <w:bookmarkEnd w:id="62"/>
      <w:bookmarkEnd w:id="63"/>
    </w:p>
    <w:p>
      <w:pPr>
        <w:pStyle w:val="28"/>
        <w:rPr>
          <w:color w:val="000000"/>
        </w:rPr>
      </w:pPr>
      <w:r>
        <w:rPr>
          <w:rFonts w:hint="eastAsia"/>
          <w:color w:val="000000"/>
        </w:rPr>
        <w:t>下列文件对于本文件的应用是必不可少的。凡是注日期的引用文件，仅所注日期的版本适用于本文件。凡是不注日期的引用文件，其最新版本（包括所有的修改单）适用于本文件。</w:t>
      </w:r>
    </w:p>
    <w:p>
      <w:pPr>
        <w:pStyle w:val="28"/>
        <w:rPr>
          <w:rFonts w:ascii="Times New Roman" w:hAnsi="Times New Roman"/>
          <w:color w:val="000000"/>
        </w:rPr>
      </w:pPr>
      <w:r>
        <w:rPr>
          <w:rFonts w:hint="eastAsia" w:ascii="Times New Roman" w:hAnsi="Times New Roman"/>
          <w:color w:val="000000"/>
        </w:rPr>
        <w:t>G</w:t>
      </w:r>
      <w:r>
        <w:rPr>
          <w:rFonts w:ascii="Times New Roman" w:hAnsi="Times New Roman"/>
          <w:color w:val="000000"/>
        </w:rPr>
        <w:t xml:space="preserve">B/T 4754  </w:t>
      </w:r>
      <w:r>
        <w:rPr>
          <w:rFonts w:hint="eastAsia" w:ascii="Times New Roman" w:hAnsi="Times New Roman"/>
          <w:color w:val="000000"/>
        </w:rPr>
        <w:t>国民经济分类代码</w:t>
      </w:r>
    </w:p>
    <w:p>
      <w:pPr>
        <w:pStyle w:val="28"/>
        <w:rPr>
          <w:rFonts w:ascii="Times New Roman" w:hAnsi="Times New Roman"/>
          <w:color w:val="000000"/>
        </w:rPr>
      </w:pPr>
      <w:bookmarkStart w:id="64" w:name="OLE_LINK1"/>
      <w:bookmarkStart w:id="65" w:name="OLE_LINK4"/>
      <w:r>
        <w:rPr>
          <w:rFonts w:hint="eastAsia" w:ascii="Times New Roman" w:hAnsi="Times New Roman"/>
          <w:color w:val="000000"/>
        </w:rPr>
        <w:t>GB/T 7119</w:t>
      </w:r>
      <w:r>
        <w:rPr>
          <w:rFonts w:ascii="Times New Roman" w:hAnsi="Times New Roman"/>
          <w:color w:val="000000"/>
        </w:rPr>
        <w:t xml:space="preserve">  </w:t>
      </w:r>
      <w:r>
        <w:rPr>
          <w:rFonts w:hint="eastAsia" w:ascii="Times New Roman" w:hAnsi="Times New Roman"/>
          <w:color w:val="000000"/>
        </w:rPr>
        <w:t>节水型企业评价导则</w:t>
      </w:r>
    </w:p>
    <w:p>
      <w:pPr>
        <w:pStyle w:val="28"/>
        <w:rPr>
          <w:rFonts w:ascii="Times New Roman" w:hAnsi="Times New Roman"/>
          <w:color w:val="000000"/>
        </w:rPr>
      </w:pPr>
      <w:r>
        <w:rPr>
          <w:rFonts w:hint="eastAsia" w:ascii="Times New Roman" w:hAnsi="Times New Roman"/>
          <w:color w:val="000000"/>
        </w:rPr>
        <w:t>GB/T 12452  水平衡测试通则</w:t>
      </w:r>
    </w:p>
    <w:p>
      <w:pPr>
        <w:pStyle w:val="28"/>
        <w:rPr>
          <w:rFonts w:ascii="Times New Roman" w:hAnsi="Times New Roman"/>
          <w:color w:val="000000"/>
        </w:rPr>
      </w:pPr>
      <w:r>
        <w:rPr>
          <w:rFonts w:hint="eastAsia" w:ascii="Times New Roman" w:hAnsi="Times New Roman"/>
          <w:color w:val="000000"/>
        </w:rPr>
        <w:t>GB/T 18820  工业企业产品取水定额编制通则</w:t>
      </w:r>
    </w:p>
    <w:p>
      <w:pPr>
        <w:pStyle w:val="28"/>
        <w:rPr>
          <w:rFonts w:ascii="Times New Roman" w:hAnsi="Times New Roman"/>
          <w:color w:val="000000"/>
        </w:rPr>
      </w:pPr>
      <w:r>
        <w:rPr>
          <w:rFonts w:hint="eastAsia" w:ascii="Times New Roman" w:hAnsi="Times New Roman"/>
          <w:color w:val="000000"/>
        </w:rPr>
        <w:t>GB/T 18916.</w:t>
      </w:r>
      <w:r>
        <w:rPr>
          <w:rFonts w:ascii="Times New Roman" w:hAnsi="Times New Roman"/>
          <w:color w:val="000000"/>
        </w:rPr>
        <w:t xml:space="preserve">50  </w:t>
      </w:r>
      <w:r>
        <w:rPr>
          <w:rFonts w:hint="eastAsia" w:ascii="Times New Roman" w:hAnsi="Times New Roman"/>
          <w:color w:val="000000"/>
        </w:rPr>
        <w:t>取水定额 第</w:t>
      </w:r>
      <w:r>
        <w:rPr>
          <w:rFonts w:ascii="Times New Roman" w:hAnsi="Times New Roman"/>
          <w:color w:val="000000"/>
        </w:rPr>
        <w:t>50</w:t>
      </w:r>
      <w:r>
        <w:rPr>
          <w:rFonts w:hint="eastAsia" w:ascii="Times New Roman" w:hAnsi="Times New Roman"/>
          <w:color w:val="000000"/>
        </w:rPr>
        <w:t>部分：聚酯涤纶产品</w:t>
      </w:r>
    </w:p>
    <w:p>
      <w:pPr>
        <w:pStyle w:val="28"/>
        <w:rPr>
          <w:rFonts w:ascii="Times New Roman" w:hAnsi="Times New Roman"/>
          <w:color w:val="000000"/>
        </w:rPr>
      </w:pPr>
      <w:r>
        <w:rPr>
          <w:rFonts w:hint="eastAsia" w:ascii="Times New Roman" w:hAnsi="Times New Roman"/>
          <w:color w:val="000000"/>
        </w:rPr>
        <w:t>GB/T 21534</w:t>
      </w:r>
      <w:r>
        <w:rPr>
          <w:rFonts w:ascii="Times New Roman" w:hAnsi="Times New Roman"/>
          <w:color w:val="000000"/>
        </w:rPr>
        <w:t xml:space="preserve">  </w:t>
      </w:r>
      <w:r>
        <w:rPr>
          <w:rFonts w:hint="eastAsia" w:ascii="Times New Roman" w:hAnsi="Times New Roman"/>
          <w:color w:val="000000"/>
        </w:rPr>
        <w:t>节约用水 术语</w:t>
      </w:r>
    </w:p>
    <w:p>
      <w:pPr>
        <w:pStyle w:val="28"/>
        <w:rPr>
          <w:rFonts w:ascii="Times New Roman" w:hAnsi="Times New Roman"/>
          <w:color w:val="000000"/>
        </w:rPr>
      </w:pPr>
      <w:r>
        <w:rPr>
          <w:rFonts w:hint="eastAsia" w:ascii="Times New Roman" w:hAnsi="Times New Roman"/>
          <w:color w:val="000000"/>
        </w:rPr>
        <w:t>GB</w:t>
      </w:r>
      <w:r>
        <w:rPr>
          <w:rFonts w:ascii="Times New Roman" w:hAnsi="Times New Roman"/>
          <w:color w:val="000000"/>
        </w:rPr>
        <w:t>/T</w:t>
      </w:r>
      <w:r>
        <w:rPr>
          <w:rFonts w:hint="eastAsia" w:ascii="Times New Roman" w:hAnsi="Times New Roman"/>
          <w:color w:val="000000"/>
        </w:rPr>
        <w:t xml:space="preserve"> 24789</w:t>
      </w:r>
      <w:r>
        <w:rPr>
          <w:rFonts w:ascii="Times New Roman" w:hAnsi="Times New Roman"/>
          <w:color w:val="000000"/>
        </w:rPr>
        <w:t xml:space="preserve">  </w:t>
      </w:r>
      <w:r>
        <w:rPr>
          <w:rFonts w:hint="eastAsia" w:ascii="Times New Roman" w:hAnsi="Times New Roman"/>
          <w:color w:val="000000"/>
        </w:rPr>
        <w:t>用水单位水计量器具配备和管理通则</w:t>
      </w:r>
    </w:p>
    <w:bookmarkEnd w:id="64"/>
    <w:bookmarkEnd w:id="65"/>
    <w:p>
      <w:pPr>
        <w:pStyle w:val="132"/>
        <w:rPr>
          <w:color w:val="000000"/>
        </w:rPr>
      </w:pPr>
      <w:bookmarkStart w:id="66" w:name="_Toc42524657"/>
      <w:bookmarkStart w:id="67" w:name="_Toc20499442"/>
      <w:bookmarkStart w:id="68" w:name="_Toc18676017"/>
      <w:bookmarkStart w:id="69" w:name="_Toc42524586"/>
      <w:bookmarkStart w:id="70" w:name="_Toc18675441"/>
      <w:bookmarkStart w:id="71" w:name="_Toc19028961"/>
      <w:bookmarkStart w:id="72" w:name="_Toc19028818"/>
      <w:bookmarkStart w:id="73" w:name="_Toc20236120"/>
      <w:bookmarkStart w:id="74" w:name="_Toc20485886"/>
      <w:bookmarkStart w:id="75" w:name="_Toc51160107"/>
      <w:bookmarkStart w:id="76" w:name="_Toc18675951"/>
      <w:bookmarkStart w:id="77" w:name="_Toc22143360"/>
      <w:bookmarkStart w:id="78" w:name="_Toc20663440"/>
      <w:r>
        <w:rPr>
          <w:rFonts w:hint="eastAsia"/>
          <w:color w:val="000000"/>
        </w:rPr>
        <w:t>术语和定义</w:t>
      </w:r>
      <w:bookmarkEnd w:id="66"/>
      <w:bookmarkEnd w:id="67"/>
      <w:bookmarkEnd w:id="68"/>
      <w:bookmarkEnd w:id="69"/>
      <w:bookmarkEnd w:id="70"/>
      <w:bookmarkEnd w:id="71"/>
      <w:bookmarkEnd w:id="72"/>
      <w:bookmarkEnd w:id="73"/>
      <w:bookmarkEnd w:id="74"/>
      <w:bookmarkEnd w:id="75"/>
      <w:bookmarkEnd w:id="76"/>
      <w:bookmarkEnd w:id="77"/>
      <w:bookmarkEnd w:id="78"/>
    </w:p>
    <w:p>
      <w:pPr>
        <w:pStyle w:val="28"/>
        <w:rPr>
          <w:rFonts w:hint="eastAsia" w:ascii="Times New Roman" w:hAnsi="Times New Roman"/>
          <w:color w:val="000000"/>
        </w:rPr>
      </w:pPr>
      <w:r>
        <w:rPr>
          <w:rFonts w:hint="eastAsia" w:ascii="Times New Roman" w:hAnsi="Times New Roman"/>
          <w:color w:val="000000"/>
        </w:rPr>
        <w:t>G</w:t>
      </w:r>
      <w:r>
        <w:rPr>
          <w:rFonts w:ascii="Times New Roman" w:hAnsi="Times New Roman"/>
          <w:color w:val="000000"/>
        </w:rPr>
        <w:t xml:space="preserve">B/T 4754 </w:t>
      </w:r>
      <w:r>
        <w:rPr>
          <w:rFonts w:hint="eastAsia" w:ascii="Times New Roman" w:hAnsi="Times New Roman"/>
          <w:color w:val="000000"/>
        </w:rPr>
        <w:t>、GB/T 7119、GB/T 12452、GB/T 18820、GB/T 18916.</w:t>
      </w:r>
      <w:r>
        <w:rPr>
          <w:rFonts w:ascii="Times New Roman" w:hAnsi="Times New Roman"/>
          <w:color w:val="000000"/>
        </w:rPr>
        <w:t>50</w:t>
      </w:r>
      <w:r>
        <w:rPr>
          <w:rFonts w:hint="eastAsia" w:ascii="Times New Roman" w:hAnsi="Times New Roman"/>
          <w:color w:val="000000"/>
        </w:rPr>
        <w:t>、GB/T 21534和GB</w:t>
      </w:r>
      <w:r>
        <w:rPr>
          <w:rFonts w:ascii="Times New Roman" w:hAnsi="Times New Roman"/>
          <w:color w:val="000000"/>
        </w:rPr>
        <w:t>/T</w:t>
      </w:r>
      <w:r>
        <w:rPr>
          <w:rFonts w:hint="eastAsia" w:ascii="Times New Roman" w:hAnsi="Times New Roman"/>
          <w:color w:val="000000"/>
        </w:rPr>
        <w:t xml:space="preserve"> 24789界定的术语和定义适用于本文件</w:t>
      </w:r>
      <w:r>
        <w:rPr>
          <w:rFonts w:ascii="Times New Roman" w:hAnsi="Times New Roman"/>
          <w:color w:val="000000"/>
        </w:rPr>
        <w:t>。</w:t>
      </w:r>
    </w:p>
    <w:p>
      <w:pPr>
        <w:pStyle w:val="132"/>
        <w:rPr>
          <w:color w:val="000000"/>
        </w:rPr>
      </w:pPr>
      <w:bookmarkStart w:id="79" w:name="_Toc22037063"/>
      <w:bookmarkEnd w:id="79"/>
      <w:bookmarkStart w:id="80" w:name="_Toc21965176"/>
      <w:bookmarkEnd w:id="80"/>
      <w:bookmarkStart w:id="81" w:name="_Toc22036814"/>
      <w:bookmarkEnd w:id="81"/>
      <w:bookmarkStart w:id="82" w:name="_Toc21965182"/>
      <w:bookmarkEnd w:id="82"/>
      <w:bookmarkStart w:id="83" w:name="_Toc22037065"/>
      <w:bookmarkEnd w:id="83"/>
      <w:bookmarkStart w:id="84" w:name="_Toc22037064"/>
      <w:bookmarkEnd w:id="84"/>
      <w:bookmarkStart w:id="85" w:name="_Toc22036813"/>
      <w:bookmarkEnd w:id="85"/>
      <w:bookmarkStart w:id="86" w:name="_Toc22036815"/>
      <w:bookmarkEnd w:id="86"/>
      <w:bookmarkStart w:id="87" w:name="_Toc22143361"/>
      <w:bookmarkEnd w:id="87"/>
      <w:bookmarkStart w:id="88" w:name="_Toc531940298"/>
      <w:bookmarkStart w:id="89" w:name="_Toc531964810"/>
      <w:bookmarkStart w:id="90" w:name="_Toc18675952"/>
      <w:bookmarkStart w:id="91" w:name="_Toc513020262"/>
      <w:bookmarkStart w:id="92" w:name="_Toc20485887"/>
      <w:bookmarkStart w:id="93" w:name="_Toc20236121"/>
      <w:bookmarkStart w:id="94" w:name="_Toc529358903"/>
      <w:bookmarkStart w:id="95" w:name="_Toc531943873"/>
      <w:bookmarkStart w:id="96" w:name="_Toc11666365"/>
      <w:bookmarkStart w:id="97" w:name="_Toc20499443"/>
      <w:bookmarkStart w:id="98" w:name="_Toc18656468"/>
      <w:bookmarkStart w:id="99" w:name="_Toc20663441"/>
      <w:bookmarkStart w:id="100" w:name="_Toc505153739"/>
      <w:bookmarkStart w:id="101" w:name="_Toc507683544"/>
      <w:bookmarkStart w:id="102" w:name="_Toc531936576"/>
      <w:bookmarkStart w:id="103" w:name="_Toc19028962"/>
      <w:bookmarkStart w:id="104" w:name="_Toc531940488"/>
      <w:bookmarkStart w:id="105" w:name="_Toc531943925"/>
      <w:bookmarkStart w:id="106" w:name="_Toc531940682"/>
      <w:bookmarkStart w:id="107" w:name="_Toc505153756"/>
      <w:bookmarkStart w:id="108" w:name="_Toc19028819"/>
      <w:bookmarkStart w:id="109" w:name="_Toc18675442"/>
      <w:bookmarkStart w:id="110" w:name="_Toc529198639"/>
      <w:bookmarkStart w:id="111" w:name="_Toc18676018"/>
      <w:bookmarkStart w:id="112" w:name="_Toc42524658"/>
      <w:bookmarkStart w:id="113" w:name="_Toc51160108"/>
      <w:bookmarkStart w:id="114" w:name="_Toc42524587"/>
      <w:bookmarkStart w:id="115" w:name="_Toc533147623"/>
      <w:bookmarkStart w:id="116" w:name="_Toc531940602"/>
      <w:bookmarkStart w:id="117" w:name="_Toc22143362"/>
      <w:r>
        <w:rPr>
          <w:rFonts w:hint="eastAsia"/>
          <w:color w:val="000000"/>
        </w:rPr>
        <w:t>评价指标体系及要求</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bookmarkStart w:id="118" w:name="_Toc22143363"/>
      <w:bookmarkStart w:id="119" w:name="_Toc22036819"/>
      <w:bookmarkStart w:id="120" w:name="_Toc22037069"/>
      <w:bookmarkStart w:id="121" w:name="_Toc21965185"/>
      <w:r>
        <w:rPr>
          <w:rFonts w:hint="eastAsia"/>
        </w:rPr>
        <w:t>4</w:t>
      </w:r>
      <w:r>
        <w:t xml:space="preserve">.1 </w:t>
      </w:r>
      <w:r>
        <w:rPr>
          <w:rFonts w:hint="eastAsia"/>
        </w:rPr>
        <w:t>节水型企业评价指标体系包括基本要求、管理指标和技术指标。</w:t>
      </w:r>
    </w:p>
    <w:p>
      <w:r>
        <w:rPr>
          <w:rFonts w:hint="eastAsia"/>
        </w:rPr>
        <w:t>4</w:t>
      </w:r>
      <w:r>
        <w:t xml:space="preserve">.2 </w:t>
      </w:r>
      <w:r>
        <w:rPr>
          <w:rFonts w:hint="eastAsia"/>
        </w:rPr>
        <w:t>节水型企业应全部满足基本要求，见表1。</w:t>
      </w:r>
    </w:p>
    <w:p>
      <w:pPr>
        <w:rPr>
          <w:rFonts w:hint="eastAsia"/>
        </w:rPr>
      </w:pPr>
      <w:r>
        <w:rPr>
          <w:rFonts w:hint="eastAsia"/>
        </w:rPr>
        <w:t>4.3 节水型企业管理指标及要求见表2，管理指标计分方法见附录A。</w:t>
      </w:r>
    </w:p>
    <w:p>
      <w:pPr>
        <w:rPr>
          <w:rFonts w:hint="eastAsia"/>
        </w:rPr>
      </w:pPr>
      <w:r>
        <w:rPr>
          <w:rFonts w:hint="eastAsia"/>
        </w:rPr>
        <w:t>4.4 节水型企业技术指标及要求见表3，技术指标计算方法见附录B</w:t>
      </w:r>
      <w:r>
        <w:rPr>
          <w:rFonts w:hint="eastAsia"/>
        </w:rPr>
        <w:t>。</w:t>
      </w:r>
    </w:p>
    <w:p>
      <w:pPr>
        <w:rPr>
          <w:rFonts w:hint="eastAsia"/>
        </w:rPr>
      </w:pPr>
      <w:r>
        <w:rPr>
          <w:rFonts w:hint="eastAsia"/>
          <w:lang w:val="en-US" w:eastAsia="zh-CN"/>
        </w:rPr>
        <w:t xml:space="preserve">4.5 </w:t>
      </w:r>
      <w:r>
        <w:rPr>
          <w:rFonts w:hint="eastAsia"/>
        </w:rPr>
        <w:t>以评价年作为基准年，应采用上两年的统计数据对技术指标进行评价和赋值。</w:t>
      </w:r>
    </w:p>
    <w:p>
      <w:pPr>
        <w:rPr>
          <w:rFonts w:hint="eastAsia"/>
        </w:rPr>
      </w:pPr>
      <w:r>
        <w:rPr>
          <w:rFonts w:hint="eastAsia"/>
          <w:lang w:val="en-US" w:eastAsia="zh-CN"/>
        </w:rPr>
        <w:t xml:space="preserve">4.6 </w:t>
      </w:r>
      <w:r>
        <w:rPr>
          <w:rFonts w:hint="eastAsia"/>
        </w:rPr>
        <w:t>总评分在85分及以上，且同时满足管理指标得分≥48分、技术性指标得分≥32分的企业可评定为节水型企业。总评分=</w:t>
      </w:r>
      <w:r>
        <w:rPr>
          <w:rFonts w:hint="eastAsia"/>
        </w:rPr>
        <w:t>管理指标得分+</w:t>
      </w:r>
      <w:r>
        <w:rPr>
          <w:rFonts w:hint="eastAsia"/>
        </w:rPr>
        <w:t>技术指标得分+鼓励性指标得分。</w:t>
      </w:r>
    </w:p>
    <w:p>
      <w:pPr>
        <w:rPr>
          <w:rFonts w:hint="eastAsia"/>
        </w:rPr>
      </w:pPr>
      <w:r>
        <w:rPr>
          <w:rFonts w:hint="eastAsia"/>
          <w:lang w:val="en-US" w:eastAsia="zh-CN"/>
        </w:rPr>
        <w:t xml:space="preserve">4.7 </w:t>
      </w:r>
      <w:r>
        <w:rPr>
          <w:rFonts w:hint="eastAsia"/>
        </w:rPr>
        <w:t>节水型企业评价程序见附录C</w:t>
      </w:r>
      <w:r>
        <w:rPr>
          <w:rFonts w:hint="eastAsia"/>
        </w:rPr>
        <w:t>。</w:t>
      </w:r>
    </w:p>
    <w:p>
      <w:pPr>
        <w:spacing w:before="156" w:beforeLines="50" w:after="156" w:afterLines="50"/>
        <w:jc w:val="center"/>
        <w:rPr>
          <w:rFonts w:ascii="Times New Roman" w:hAnsi="Times New Roman"/>
          <w:b/>
          <w:szCs w:val="28"/>
        </w:rPr>
      </w:pPr>
      <w:r>
        <w:rPr>
          <w:rFonts w:hint="eastAsia" w:ascii="Times New Roman" w:hAnsi="Times New Roman"/>
          <w:b/>
          <w:szCs w:val="28"/>
        </w:rPr>
        <w:t>表1</w:t>
      </w:r>
      <w:r>
        <w:rPr>
          <w:rFonts w:ascii="Times New Roman" w:hAnsi="Times New Roman"/>
          <w:b/>
          <w:szCs w:val="28"/>
        </w:rPr>
        <w:t xml:space="preserve">  </w:t>
      </w:r>
      <w:r>
        <w:rPr>
          <w:rFonts w:hint="eastAsia" w:ascii="Times New Roman" w:hAnsi="Times New Roman"/>
          <w:b/>
          <w:szCs w:val="28"/>
        </w:rPr>
        <w:t>节水型企业基本要求</w:t>
      </w:r>
    </w:p>
    <w:tbl>
      <w:tblPr>
        <w:tblStyle w:val="4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82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序号</w:t>
            </w:r>
          </w:p>
        </w:tc>
        <w:tc>
          <w:tcPr>
            <w:tcW w:w="8258" w:type="dxa"/>
            <w:vAlign w:val="center"/>
          </w:tcPr>
          <w:p>
            <w:pPr>
              <w:jc w:val="center"/>
              <w:rPr>
                <w:rFonts w:ascii="宋体"/>
              </w:rPr>
            </w:pPr>
            <w:r>
              <w:rPr>
                <w:rFonts w:hint="eastAsia" w:ascii="宋体"/>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1</w:t>
            </w:r>
          </w:p>
        </w:tc>
        <w:tc>
          <w:tcPr>
            <w:tcW w:w="8258" w:type="dxa"/>
          </w:tcPr>
          <w:p>
            <w:pPr>
              <w:rPr>
                <w:rFonts w:ascii="宋体"/>
              </w:rPr>
            </w:pPr>
            <w:r>
              <w:rPr>
                <w:rFonts w:hint="eastAsia" w:ascii="宋体"/>
              </w:rPr>
              <w:t>生活用水和生产用水分别计量。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2</w:t>
            </w:r>
          </w:p>
        </w:tc>
        <w:tc>
          <w:tcPr>
            <w:tcW w:w="8258" w:type="dxa"/>
          </w:tcPr>
          <w:p>
            <w:pPr>
              <w:rPr>
                <w:rFonts w:hint="eastAsia" w:ascii="宋体"/>
              </w:rPr>
            </w:pPr>
            <w:r>
              <w:rPr>
                <w:rFonts w:hint="eastAsia" w:ascii="宋体"/>
              </w:rPr>
              <w:t>自制蒸汽单位应将蒸汽锅炉蒸汽冷凝水回收至锅炉水补水；外购蒸汽单位应当充分利用蒸汽冷凝水，严禁直接排放。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3</w:t>
            </w:r>
          </w:p>
        </w:tc>
        <w:tc>
          <w:tcPr>
            <w:tcW w:w="8258" w:type="dxa"/>
          </w:tcPr>
          <w:p>
            <w:pPr>
              <w:rPr>
                <w:rFonts w:ascii="宋体"/>
              </w:rPr>
            </w:pPr>
            <w:r>
              <w:rPr>
                <w:rFonts w:hint="eastAsia" w:ascii="宋体"/>
              </w:rPr>
              <w:t>工艺用水及直接冷却水不直排，应回用或重复利用。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ascii="宋体"/>
              </w:rPr>
              <w:t>4</w:t>
            </w:r>
          </w:p>
        </w:tc>
        <w:tc>
          <w:tcPr>
            <w:tcW w:w="8258" w:type="dxa"/>
          </w:tcPr>
          <w:p>
            <w:pPr>
              <w:rPr>
                <w:rFonts w:ascii="宋体"/>
              </w:rPr>
            </w:pPr>
            <w:r>
              <w:rPr>
                <w:rFonts w:hint="eastAsia" w:ascii="宋体"/>
              </w:rPr>
              <w:t>水计量器具的配备与管理符合G</w:t>
            </w:r>
            <w:r>
              <w:rPr>
                <w:rFonts w:ascii="宋体"/>
              </w:rPr>
              <w:t>B/T 24789</w:t>
            </w:r>
            <w:r>
              <w:rPr>
                <w:rFonts w:hint="eastAsia" w:ascii="宋体"/>
              </w:rPr>
              <w:t>的要求（并附水计量器具规格型号清单）。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5</w:t>
            </w:r>
          </w:p>
        </w:tc>
        <w:tc>
          <w:tcPr>
            <w:tcW w:w="8258" w:type="dxa"/>
          </w:tcPr>
          <w:p>
            <w:pPr>
              <w:rPr>
                <w:rFonts w:ascii="宋体"/>
              </w:rPr>
            </w:pPr>
            <w:r>
              <w:rPr>
                <w:rFonts w:hint="eastAsia" w:ascii="宋体"/>
              </w:rPr>
              <w:t>近三年或五年内开展过水平衡测试或用水审计（水平衡测试报告书或用水审计报告应通过主管部门的专家评审文件或能够证明其效力的文件）。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6</w:t>
            </w:r>
          </w:p>
        </w:tc>
        <w:tc>
          <w:tcPr>
            <w:tcW w:w="8258" w:type="dxa"/>
          </w:tcPr>
          <w:p>
            <w:pPr>
              <w:rPr>
                <w:rFonts w:ascii="宋体"/>
              </w:rPr>
            </w:pPr>
            <w:r>
              <w:rPr>
                <w:rFonts w:hint="eastAsia" w:ascii="宋体"/>
              </w:rPr>
              <w:t>企业废水排放符合要求（并附地方环保证明或地方排污许可证）。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7</w:t>
            </w:r>
          </w:p>
        </w:tc>
        <w:tc>
          <w:tcPr>
            <w:tcW w:w="8258" w:type="dxa"/>
          </w:tcPr>
          <w:p>
            <w:pPr>
              <w:rPr>
                <w:rFonts w:ascii="宋体"/>
              </w:rPr>
            </w:pPr>
            <w:r>
              <w:rPr>
                <w:rFonts w:hint="eastAsia" w:ascii="宋体"/>
              </w:rPr>
              <w:t>不使用国家明令淘汰的用水设备和器具。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8</w:t>
            </w:r>
          </w:p>
        </w:tc>
        <w:tc>
          <w:tcPr>
            <w:tcW w:w="8258" w:type="dxa"/>
          </w:tcPr>
          <w:p>
            <w:pPr>
              <w:rPr>
                <w:rFonts w:ascii="宋体"/>
              </w:rPr>
            </w:pPr>
            <w:r>
              <w:rPr>
                <w:rFonts w:hint="eastAsia" w:ascii="宋体"/>
              </w:rPr>
              <w:t>取用水手续齐全（并附批件复印件）。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9</w:t>
            </w:r>
          </w:p>
        </w:tc>
        <w:tc>
          <w:tcPr>
            <w:tcW w:w="8258" w:type="dxa"/>
          </w:tcPr>
          <w:p>
            <w:pPr>
              <w:rPr>
                <w:rFonts w:ascii="宋体"/>
              </w:rPr>
            </w:pPr>
            <w:r>
              <w:rPr>
                <w:rFonts w:hint="eastAsia" w:ascii="宋体"/>
              </w:rPr>
              <w:t>近三年无超计划超定额用水（并附地方节水办证明）。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pPr>
              <w:jc w:val="center"/>
              <w:rPr>
                <w:rFonts w:ascii="宋体"/>
              </w:rPr>
            </w:pPr>
            <w:r>
              <w:rPr>
                <w:rFonts w:hint="eastAsia" w:ascii="宋体"/>
              </w:rPr>
              <w:t>1</w:t>
            </w:r>
            <w:r>
              <w:rPr>
                <w:rFonts w:ascii="宋体"/>
              </w:rPr>
              <w:t>0</w:t>
            </w:r>
          </w:p>
        </w:tc>
        <w:tc>
          <w:tcPr>
            <w:tcW w:w="8258" w:type="dxa"/>
          </w:tcPr>
          <w:p>
            <w:pPr>
              <w:rPr>
                <w:rFonts w:ascii="宋体"/>
              </w:rPr>
            </w:pPr>
            <w:r>
              <w:rPr>
                <w:rFonts w:hint="eastAsia" w:ascii="宋体"/>
              </w:rPr>
              <w:t>新建、改建和扩建项目时，节水设施应与主体工程同时设计、同时施工、同时投入运行，做到用水计划到位、节水目标到位、管水制度到位、节水措施到位（简称节水“三同时、四到位”制度）。</w:t>
            </w:r>
          </w:p>
        </w:tc>
      </w:tr>
    </w:tbl>
    <w:p>
      <w:pPr>
        <w:spacing w:before="156" w:beforeLines="50" w:after="156" w:afterLines="50"/>
        <w:jc w:val="center"/>
        <w:rPr>
          <w:rFonts w:ascii="Times New Roman" w:hAnsi="Times New Roman"/>
          <w:b/>
          <w:szCs w:val="28"/>
        </w:rPr>
      </w:pPr>
      <w:r>
        <w:rPr>
          <w:rFonts w:hint="eastAsia" w:ascii="Times New Roman" w:hAnsi="Times New Roman"/>
          <w:b/>
          <w:szCs w:val="28"/>
        </w:rPr>
        <w:t>表2</w:t>
      </w:r>
      <w:r>
        <w:rPr>
          <w:rFonts w:ascii="Times New Roman" w:hAnsi="Times New Roman"/>
          <w:b/>
          <w:szCs w:val="28"/>
        </w:rPr>
        <w:t xml:space="preserve">  </w:t>
      </w:r>
      <w:r>
        <w:rPr>
          <w:rFonts w:hint="eastAsia" w:ascii="Times New Roman" w:hAnsi="Times New Roman"/>
          <w:b/>
          <w:szCs w:val="28"/>
        </w:rPr>
        <w:t>节水型企业管理指标及要求</w:t>
      </w:r>
    </w:p>
    <w:tbl>
      <w:tblPr>
        <w:tblStyle w:val="40"/>
        <w:tblW w:w="0" w:type="auto"/>
        <w:tblInd w:w="3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4"/>
        <w:gridCol w:w="1837"/>
        <w:gridCol w:w="64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tcPr>
          <w:p>
            <w:pPr>
              <w:jc w:val="center"/>
              <w:rPr>
                <w:rFonts w:ascii="宋体"/>
              </w:rPr>
            </w:pPr>
            <w:r>
              <w:rPr>
                <w:rFonts w:hint="eastAsia" w:ascii="宋体"/>
              </w:rPr>
              <w:t>序号</w:t>
            </w:r>
          </w:p>
        </w:tc>
        <w:tc>
          <w:tcPr>
            <w:tcW w:w="1837" w:type="dxa"/>
          </w:tcPr>
          <w:p>
            <w:pPr>
              <w:jc w:val="center"/>
              <w:rPr>
                <w:rFonts w:ascii="宋体"/>
              </w:rPr>
            </w:pPr>
            <w:r>
              <w:rPr>
                <w:rFonts w:hint="eastAsia" w:ascii="宋体"/>
              </w:rPr>
              <w:t>指标名称</w:t>
            </w:r>
          </w:p>
        </w:tc>
        <w:tc>
          <w:tcPr>
            <w:tcW w:w="6431" w:type="dxa"/>
          </w:tcPr>
          <w:p>
            <w:pPr>
              <w:jc w:val="center"/>
              <w:rPr>
                <w:rFonts w:ascii="宋体"/>
              </w:rPr>
            </w:pPr>
            <w:r>
              <w:rPr>
                <w:rFonts w:hint="eastAsia" w:ascii="宋体"/>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1</w:t>
            </w:r>
          </w:p>
        </w:tc>
        <w:tc>
          <w:tcPr>
            <w:tcW w:w="1837" w:type="dxa"/>
            <w:vAlign w:val="center"/>
          </w:tcPr>
          <w:p>
            <w:pPr>
              <w:jc w:val="center"/>
              <w:rPr>
                <w:rFonts w:ascii="宋体"/>
              </w:rPr>
            </w:pPr>
            <w:r>
              <w:rPr>
                <w:rFonts w:hint="eastAsia" w:ascii="宋体"/>
              </w:rPr>
              <w:t>管理制度</w:t>
            </w:r>
          </w:p>
        </w:tc>
        <w:tc>
          <w:tcPr>
            <w:tcW w:w="6431" w:type="dxa"/>
          </w:tcPr>
          <w:p>
            <w:pPr>
              <w:rPr>
                <w:rFonts w:ascii="宋体"/>
              </w:rPr>
            </w:pPr>
            <w:r>
              <w:rPr>
                <w:rFonts w:hint="eastAsia" w:ascii="宋体"/>
              </w:rPr>
              <w:t>有科学合理的节约用水管理制度；实行用水计划管理，制定节水规划和年度用水计划并分解到各主要用水部门；有健全的节水统计制度，应定期向相关管理部门报送节水统计报表。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2</w:t>
            </w:r>
          </w:p>
        </w:tc>
        <w:tc>
          <w:tcPr>
            <w:tcW w:w="1837" w:type="dxa"/>
            <w:vAlign w:val="center"/>
          </w:tcPr>
          <w:p>
            <w:pPr>
              <w:jc w:val="center"/>
              <w:rPr>
                <w:rFonts w:ascii="宋体"/>
              </w:rPr>
            </w:pPr>
            <w:r>
              <w:rPr>
                <w:rFonts w:hint="eastAsia" w:ascii="宋体"/>
              </w:rPr>
              <w:t>管理机构</w:t>
            </w:r>
          </w:p>
        </w:tc>
        <w:tc>
          <w:tcPr>
            <w:tcW w:w="6431" w:type="dxa"/>
          </w:tcPr>
          <w:p>
            <w:pPr>
              <w:rPr>
                <w:rFonts w:ascii="宋体"/>
              </w:rPr>
            </w:pPr>
            <w:r>
              <w:rPr>
                <w:rFonts w:hint="eastAsia" w:ascii="宋体"/>
              </w:rPr>
              <w:t>节水管理组织机构健全，有主要领导负责用水、节水工作，有用水、节水管理部门和专（兼）职用水、节水管理人员、岗位职责明确。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3</w:t>
            </w:r>
          </w:p>
        </w:tc>
        <w:tc>
          <w:tcPr>
            <w:tcW w:w="1837" w:type="dxa"/>
            <w:vAlign w:val="center"/>
          </w:tcPr>
          <w:p>
            <w:pPr>
              <w:jc w:val="center"/>
              <w:rPr>
                <w:rFonts w:ascii="宋体"/>
              </w:rPr>
            </w:pPr>
            <w:r>
              <w:rPr>
                <w:rFonts w:hint="eastAsia" w:ascii="宋体"/>
              </w:rPr>
              <w:t>管网（设备）管理</w:t>
            </w:r>
          </w:p>
        </w:tc>
        <w:tc>
          <w:tcPr>
            <w:tcW w:w="6431" w:type="dxa"/>
          </w:tcPr>
          <w:p>
            <w:pPr>
              <w:rPr>
                <w:rFonts w:ascii="宋体"/>
              </w:rPr>
            </w:pPr>
            <w:r>
              <w:rPr>
                <w:rFonts w:hint="eastAsia" w:ascii="宋体"/>
              </w:rPr>
              <w:t>用水情况清楚，有详细的供排水管网和计量网络图；有日常巡查和保修检修制度。有问题及时解决、定期对管道和设备进行检修。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4</w:t>
            </w:r>
          </w:p>
        </w:tc>
        <w:tc>
          <w:tcPr>
            <w:tcW w:w="1837" w:type="dxa"/>
            <w:vAlign w:val="center"/>
          </w:tcPr>
          <w:p>
            <w:pPr>
              <w:jc w:val="center"/>
              <w:rPr>
                <w:rFonts w:ascii="宋体"/>
              </w:rPr>
            </w:pPr>
            <w:r>
              <w:rPr>
                <w:rFonts w:hint="eastAsia" w:ascii="宋体"/>
              </w:rPr>
              <w:t>水计量管理</w:t>
            </w:r>
          </w:p>
        </w:tc>
        <w:tc>
          <w:tcPr>
            <w:tcW w:w="6431" w:type="dxa"/>
          </w:tcPr>
          <w:p>
            <w:pPr>
              <w:rPr>
                <w:rFonts w:ascii="宋体"/>
              </w:rPr>
            </w:pPr>
            <w:r>
              <w:rPr>
                <w:rFonts w:hint="eastAsia" w:ascii="宋体"/>
              </w:rPr>
              <w:t>原始记录和统计台账完整规范并定期进行分析；内部实行定额管理，节奖超罚。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5</w:t>
            </w:r>
          </w:p>
        </w:tc>
        <w:tc>
          <w:tcPr>
            <w:tcW w:w="1837" w:type="dxa"/>
            <w:vAlign w:val="center"/>
          </w:tcPr>
          <w:p>
            <w:pPr>
              <w:jc w:val="center"/>
              <w:rPr>
                <w:rFonts w:ascii="宋体"/>
              </w:rPr>
            </w:pPr>
            <w:r>
              <w:rPr>
                <w:rFonts w:hint="eastAsia" w:ascii="宋体"/>
              </w:rPr>
              <w:t>水平衡测试</w:t>
            </w:r>
          </w:p>
        </w:tc>
        <w:tc>
          <w:tcPr>
            <w:tcW w:w="6431" w:type="dxa"/>
          </w:tcPr>
          <w:p>
            <w:pPr>
              <w:rPr>
                <w:rFonts w:ascii="宋体"/>
              </w:rPr>
            </w:pPr>
            <w:r>
              <w:rPr>
                <w:rFonts w:hint="eastAsia" w:ascii="宋体"/>
              </w:rPr>
              <w:t>依据</w:t>
            </w:r>
            <w:r>
              <w:rPr>
                <w:rFonts w:hint="eastAsia" w:ascii="Times New Roman" w:hAnsi="Times New Roman"/>
                <w:color w:val="000000"/>
                <w:szCs w:val="20"/>
              </w:rPr>
              <w:t xml:space="preserve">GB/T </w:t>
            </w:r>
            <w:r>
              <w:rPr>
                <w:rFonts w:ascii="Times New Roman" w:hAnsi="Times New Roman"/>
                <w:color w:val="000000"/>
                <w:szCs w:val="20"/>
              </w:rPr>
              <w:t>12452</w:t>
            </w:r>
            <w:r>
              <w:rPr>
                <w:rFonts w:hint="eastAsia" w:ascii="Times New Roman" w:hAnsi="Times New Roman"/>
                <w:color w:val="000000"/>
                <w:szCs w:val="20"/>
              </w:rPr>
              <w:t>进行水平衡测试；保存有完整的水平衡测试报告书及有关文件。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6</w:t>
            </w:r>
          </w:p>
        </w:tc>
        <w:tc>
          <w:tcPr>
            <w:tcW w:w="1837" w:type="dxa"/>
            <w:vAlign w:val="center"/>
          </w:tcPr>
          <w:p>
            <w:pPr>
              <w:jc w:val="center"/>
              <w:rPr>
                <w:rFonts w:ascii="宋体"/>
              </w:rPr>
            </w:pPr>
            <w:r>
              <w:rPr>
                <w:rFonts w:hint="eastAsia" w:ascii="宋体"/>
              </w:rPr>
              <w:t>节水技术改造及投入</w:t>
            </w:r>
          </w:p>
        </w:tc>
        <w:tc>
          <w:tcPr>
            <w:tcW w:w="6431" w:type="dxa"/>
          </w:tcPr>
          <w:p>
            <w:pPr>
              <w:rPr>
                <w:rFonts w:ascii="宋体"/>
              </w:rPr>
            </w:pPr>
            <w:r>
              <w:rPr>
                <w:rFonts w:hint="eastAsia" w:ascii="宋体"/>
              </w:rPr>
              <w:t>企业注重节水资金投入，每年列支一定资金用于节水工程建设、节水技术改造，所采用的生产工艺与装备，应符合国家产业政策、技术政策和发展方向，采用节水型设备。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vAlign w:val="center"/>
          </w:tcPr>
          <w:p>
            <w:pPr>
              <w:jc w:val="center"/>
              <w:rPr>
                <w:rFonts w:ascii="宋体"/>
              </w:rPr>
            </w:pPr>
            <w:r>
              <w:rPr>
                <w:rFonts w:hint="eastAsia" w:ascii="宋体"/>
              </w:rPr>
              <w:t>7</w:t>
            </w:r>
          </w:p>
        </w:tc>
        <w:tc>
          <w:tcPr>
            <w:tcW w:w="1837" w:type="dxa"/>
            <w:vAlign w:val="center"/>
          </w:tcPr>
          <w:p>
            <w:pPr>
              <w:jc w:val="center"/>
              <w:rPr>
                <w:rFonts w:ascii="宋体"/>
              </w:rPr>
            </w:pPr>
            <w:r>
              <w:rPr>
                <w:rFonts w:hint="eastAsia" w:ascii="宋体"/>
              </w:rPr>
              <w:t>节水宣传</w:t>
            </w:r>
          </w:p>
        </w:tc>
        <w:tc>
          <w:tcPr>
            <w:tcW w:w="6431" w:type="dxa"/>
          </w:tcPr>
          <w:p>
            <w:pPr>
              <w:rPr>
                <w:rFonts w:ascii="宋体"/>
              </w:rPr>
            </w:pPr>
            <w:r>
              <w:rPr>
                <w:rFonts w:hint="eastAsia" w:ascii="宋体"/>
              </w:rPr>
              <w:t>经常性开展节水宣传教育，职工有节水意识。</w:t>
            </w:r>
          </w:p>
        </w:tc>
      </w:tr>
    </w:tbl>
    <w:p>
      <w:pPr>
        <w:spacing w:before="156" w:beforeLines="50" w:after="156" w:afterLines="50"/>
        <w:jc w:val="center"/>
        <w:rPr>
          <w:rFonts w:ascii="Times New Roman" w:hAnsi="Times New Roman"/>
          <w:b/>
          <w:szCs w:val="28"/>
        </w:rPr>
      </w:pPr>
      <w:r>
        <w:rPr>
          <w:rFonts w:hint="eastAsia" w:ascii="Times New Roman" w:hAnsi="Times New Roman"/>
          <w:b/>
          <w:szCs w:val="28"/>
        </w:rPr>
        <w:t>表3</w:t>
      </w:r>
      <w:r>
        <w:rPr>
          <w:rFonts w:ascii="Times New Roman" w:hAnsi="Times New Roman"/>
          <w:b/>
          <w:szCs w:val="28"/>
        </w:rPr>
        <w:t xml:space="preserve">  </w:t>
      </w:r>
      <w:r>
        <w:rPr>
          <w:rFonts w:hint="eastAsia" w:ascii="Times New Roman" w:hAnsi="Times New Roman"/>
          <w:b/>
          <w:szCs w:val="28"/>
        </w:rPr>
        <w:t>节水型企业技术指标及要求</w:t>
      </w:r>
    </w:p>
    <w:tbl>
      <w:tblPr>
        <w:tblStyle w:val="40"/>
        <w:tblW w:w="0" w:type="auto"/>
        <w:tblInd w:w="3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58"/>
        <w:gridCol w:w="4151"/>
        <w:gridCol w:w="810"/>
        <w:gridCol w:w="1407"/>
        <w:gridCol w:w="9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tcPr>
          <w:p>
            <w:pPr>
              <w:jc w:val="center"/>
              <w:rPr>
                <w:rFonts w:ascii="宋体"/>
              </w:rPr>
            </w:pPr>
            <w:r>
              <w:rPr>
                <w:rFonts w:hint="eastAsia" w:ascii="宋体"/>
              </w:rPr>
              <w:t>评价内容</w:t>
            </w:r>
          </w:p>
        </w:tc>
        <w:tc>
          <w:tcPr>
            <w:tcW w:w="4151" w:type="dxa"/>
          </w:tcPr>
          <w:p>
            <w:pPr>
              <w:jc w:val="center"/>
              <w:rPr>
                <w:rFonts w:ascii="宋体"/>
              </w:rPr>
            </w:pPr>
            <w:r>
              <w:rPr>
                <w:rFonts w:hint="eastAsia" w:ascii="宋体"/>
              </w:rPr>
              <w:t>技术指标</w:t>
            </w:r>
          </w:p>
        </w:tc>
        <w:tc>
          <w:tcPr>
            <w:tcW w:w="810" w:type="dxa"/>
          </w:tcPr>
          <w:p>
            <w:pPr>
              <w:jc w:val="center"/>
              <w:rPr>
                <w:rFonts w:ascii="宋体"/>
              </w:rPr>
            </w:pPr>
            <w:r>
              <w:rPr>
                <w:rFonts w:hint="eastAsia" w:ascii="宋体"/>
              </w:rPr>
              <w:t>单位</w:t>
            </w:r>
          </w:p>
        </w:tc>
        <w:tc>
          <w:tcPr>
            <w:tcW w:w="1407" w:type="dxa"/>
          </w:tcPr>
          <w:p>
            <w:pPr>
              <w:jc w:val="center"/>
              <w:rPr>
                <w:rFonts w:ascii="宋体"/>
              </w:rPr>
            </w:pPr>
            <w:r>
              <w:rPr>
                <w:rFonts w:hint="eastAsia" w:ascii="宋体"/>
              </w:rPr>
              <w:t>考核值</w:t>
            </w:r>
          </w:p>
        </w:tc>
        <w:tc>
          <w:tcPr>
            <w:tcW w:w="966" w:type="dxa"/>
          </w:tcPr>
          <w:p>
            <w:pPr>
              <w:jc w:val="center"/>
              <w:rPr>
                <w:rFonts w:ascii="宋体"/>
              </w:rPr>
            </w:pPr>
            <w:r>
              <w:rPr>
                <w:rFonts w:hint="eastAsia" w:ascii="宋体"/>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restart"/>
            <w:vAlign w:val="center"/>
          </w:tcPr>
          <w:p>
            <w:pPr>
              <w:jc w:val="center"/>
              <w:rPr>
                <w:rFonts w:ascii="宋体"/>
              </w:rPr>
            </w:pPr>
            <w:r>
              <w:rPr>
                <w:rFonts w:hint="eastAsia" w:ascii="宋体"/>
              </w:rPr>
              <w:t>取水</w:t>
            </w:r>
            <w:r>
              <w:rPr>
                <w:rFonts w:hint="eastAsia" w:ascii="宋体"/>
                <w:vertAlign w:val="superscript"/>
              </w:rPr>
              <w:t>1</w:t>
            </w:r>
          </w:p>
        </w:tc>
        <w:tc>
          <w:tcPr>
            <w:tcW w:w="4151" w:type="dxa"/>
          </w:tcPr>
          <w:p>
            <w:pPr>
              <w:tabs>
                <w:tab w:val="right" w:pos="3940"/>
              </w:tabs>
              <w:rPr>
                <w:rFonts w:ascii="宋体"/>
              </w:rPr>
            </w:pPr>
            <w:r>
              <w:rPr>
                <w:rFonts w:hint="eastAsia" w:ascii="宋体"/>
              </w:rPr>
              <w:t>单位产品取水量（瓶用聚酯）</w:t>
            </w:r>
            <w:r>
              <w:rPr>
                <w:rFonts w:ascii="宋体"/>
              </w:rPr>
              <w:tab/>
            </w:r>
            <w:r>
              <w:rPr>
                <w:rFonts w:hint="eastAsia" w:ascii="宋体"/>
              </w:rPr>
              <w:t>≤</w:t>
            </w:r>
          </w:p>
        </w:tc>
        <w:tc>
          <w:tcPr>
            <w:tcW w:w="810" w:type="dxa"/>
            <w:vMerge w:val="restart"/>
            <w:vAlign w:val="center"/>
          </w:tcPr>
          <w:p>
            <w:pPr>
              <w:jc w:val="center"/>
              <w:rPr>
                <w:rFonts w:ascii="宋体"/>
              </w:rPr>
            </w:pPr>
            <w:r>
              <w:rPr>
                <w:rFonts w:hint="eastAsia" w:ascii="宋体"/>
              </w:rPr>
              <w:t>m³/</w:t>
            </w:r>
            <w:r>
              <w:rPr>
                <w:rFonts w:ascii="宋体"/>
              </w:rPr>
              <w:t>t</w:t>
            </w:r>
          </w:p>
        </w:tc>
        <w:tc>
          <w:tcPr>
            <w:tcW w:w="1407" w:type="dxa"/>
            <w:vAlign w:val="center"/>
          </w:tcPr>
          <w:p>
            <w:pPr>
              <w:jc w:val="center"/>
              <w:rPr>
                <w:rFonts w:ascii="宋体"/>
              </w:rPr>
            </w:pPr>
            <w:r>
              <w:rPr>
                <w:rFonts w:hint="eastAsia" w:ascii="宋体"/>
              </w:rPr>
              <w:t>0.4</w:t>
            </w:r>
          </w:p>
        </w:tc>
        <w:tc>
          <w:tcPr>
            <w:tcW w:w="966" w:type="dxa"/>
            <w:vMerge w:val="restart"/>
            <w:vAlign w:val="center"/>
          </w:tcPr>
          <w:p>
            <w:pPr>
              <w:jc w:val="center"/>
              <w:rPr>
                <w:rFonts w:ascii="宋体"/>
              </w:rPr>
            </w:pPr>
            <w:r>
              <w:rPr>
                <w:rFonts w:hint="eastAsia" w:ascii="宋体"/>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vAlign w:val="center"/>
          </w:tcPr>
          <w:p>
            <w:pPr>
              <w:jc w:val="center"/>
              <w:rPr>
                <w:rFonts w:ascii="宋体"/>
              </w:rPr>
            </w:pPr>
          </w:p>
        </w:tc>
        <w:tc>
          <w:tcPr>
            <w:tcW w:w="4151" w:type="dxa"/>
          </w:tcPr>
          <w:p>
            <w:pPr>
              <w:tabs>
                <w:tab w:val="right" w:pos="3940"/>
              </w:tabs>
              <w:rPr>
                <w:rFonts w:hint="eastAsia" w:ascii="Calibri"/>
              </w:rPr>
            </w:pPr>
            <w:r>
              <w:rPr>
                <w:rFonts w:hint="eastAsia" w:ascii="宋体"/>
              </w:rPr>
              <w:t>单位产品取水量（聚酯熔体或切片）</w:t>
            </w:r>
            <w:r>
              <w:rPr>
                <w:rFonts w:ascii="宋体"/>
              </w:rPr>
              <w:tab/>
            </w:r>
            <w:r>
              <w:rPr>
                <w:rFonts w:hint="eastAsia" w:ascii="宋体"/>
              </w:rPr>
              <w:t>≤</w:t>
            </w:r>
          </w:p>
        </w:tc>
        <w:tc>
          <w:tcPr>
            <w:tcW w:w="810" w:type="dxa"/>
            <w:vMerge w:val="continue"/>
            <w:vAlign w:val="center"/>
          </w:tcPr>
          <w:p>
            <w:pPr>
              <w:jc w:val="center"/>
              <w:rPr>
                <w:rFonts w:ascii="宋体"/>
              </w:rPr>
            </w:pPr>
          </w:p>
        </w:tc>
        <w:tc>
          <w:tcPr>
            <w:tcW w:w="1407" w:type="dxa"/>
            <w:vAlign w:val="center"/>
          </w:tcPr>
          <w:p>
            <w:pPr>
              <w:jc w:val="center"/>
              <w:rPr>
                <w:rFonts w:ascii="宋体"/>
              </w:rPr>
            </w:pPr>
            <w:r>
              <w:rPr>
                <w:rFonts w:hint="eastAsia" w:ascii="宋体"/>
              </w:rPr>
              <w:t>0</w:t>
            </w:r>
            <w:r>
              <w:rPr>
                <w:rFonts w:ascii="宋体"/>
              </w:rPr>
              <w:t>.4</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Calibri"/>
              </w:rPr>
            </w:pPr>
            <w:r>
              <w:rPr>
                <w:rFonts w:hint="eastAsia" w:ascii="宋体"/>
              </w:rPr>
              <w:t>单位产品取水量（熔体纺长丝）</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1</w:t>
            </w:r>
            <w:r>
              <w:rPr>
                <w:rFonts w:ascii="宋体"/>
              </w:rPr>
              <w:t>.0</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单位产品取水量（切片纺长丝）</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2</w:t>
            </w:r>
            <w:r>
              <w:rPr>
                <w:rFonts w:ascii="宋体"/>
              </w:rPr>
              <w:t>.5</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单位产品取水量（工业长丝）</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1</w:t>
            </w:r>
            <w:r>
              <w:rPr>
                <w:rFonts w:ascii="宋体"/>
              </w:rPr>
              <w:t>.4</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单位产品取水量（短纤维）</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1</w:t>
            </w:r>
            <w:r>
              <w:rPr>
                <w:rFonts w:ascii="宋体"/>
              </w:rPr>
              <w:t>.2</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单位产品取水量（长丝加弹）</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0.1</w:t>
            </w:r>
          </w:p>
        </w:tc>
        <w:tc>
          <w:tcPr>
            <w:tcW w:w="966" w:type="dxa"/>
            <w:vMerge w:val="continue"/>
          </w:tcPr>
          <w:p>
            <w:pPr>
              <w:jc w:val="cente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restart"/>
            <w:vAlign w:val="center"/>
          </w:tcPr>
          <w:p>
            <w:pPr>
              <w:jc w:val="center"/>
              <w:rPr>
                <w:rFonts w:ascii="宋体"/>
              </w:rPr>
            </w:pPr>
            <w:r>
              <w:rPr>
                <w:rFonts w:hint="eastAsia" w:ascii="宋体"/>
              </w:rPr>
              <w:t>重复利用率</w:t>
            </w:r>
          </w:p>
        </w:tc>
        <w:tc>
          <w:tcPr>
            <w:tcW w:w="4151" w:type="dxa"/>
          </w:tcPr>
          <w:p>
            <w:pPr>
              <w:tabs>
                <w:tab w:val="right" w:pos="3940"/>
              </w:tabs>
              <w:rPr>
                <w:rFonts w:ascii="宋体"/>
              </w:rPr>
            </w:pPr>
            <w:r>
              <w:rPr>
                <w:rFonts w:hint="eastAsia" w:ascii="宋体"/>
              </w:rPr>
              <w:t>重复利用率</w:t>
            </w:r>
            <w:r>
              <w:rPr>
                <w:rFonts w:ascii="宋体"/>
              </w:rPr>
              <w:tab/>
            </w:r>
            <w:r>
              <w:rPr>
                <w:rFonts w:hint="eastAsia" w:ascii="宋体"/>
              </w:rPr>
              <w:t>≥</w:t>
            </w:r>
          </w:p>
        </w:tc>
        <w:tc>
          <w:tcPr>
            <w:tcW w:w="810" w:type="dxa"/>
            <w:vAlign w:val="center"/>
          </w:tcPr>
          <w:p>
            <w:pPr>
              <w:jc w:val="center"/>
              <w:rPr>
                <w:rFonts w:ascii="宋体"/>
              </w:rPr>
            </w:pPr>
            <w:r>
              <w:rPr>
                <w:rFonts w:ascii="宋体"/>
              </w:rPr>
              <w:t>%</w:t>
            </w:r>
          </w:p>
        </w:tc>
        <w:tc>
          <w:tcPr>
            <w:tcW w:w="1407" w:type="dxa"/>
            <w:vAlign w:val="center"/>
          </w:tcPr>
          <w:p>
            <w:pPr>
              <w:jc w:val="center"/>
              <w:rPr>
                <w:rFonts w:ascii="宋体"/>
              </w:rPr>
            </w:pPr>
            <w:r>
              <w:rPr>
                <w:rFonts w:hint="eastAsia" w:ascii="宋体"/>
              </w:rPr>
              <w:t>98</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直接冷却水循环率</w:t>
            </w:r>
            <w:r>
              <w:rPr>
                <w:rFonts w:ascii="宋体"/>
              </w:rPr>
              <w:tab/>
            </w:r>
            <w:r>
              <w:rPr>
                <w:rFonts w:hint="eastAsia" w:ascii="宋体"/>
              </w:rPr>
              <w:t>≥</w:t>
            </w:r>
          </w:p>
        </w:tc>
        <w:tc>
          <w:tcPr>
            <w:tcW w:w="810" w:type="dxa"/>
            <w:vAlign w:val="center"/>
          </w:tcPr>
          <w:p>
            <w:pPr>
              <w:jc w:val="center"/>
              <w:rPr>
                <w:rFonts w:ascii="宋体"/>
              </w:rPr>
            </w:pPr>
            <w:r>
              <w:rPr>
                <w:rFonts w:ascii="宋体"/>
              </w:rPr>
              <w:t>%</w:t>
            </w:r>
          </w:p>
        </w:tc>
        <w:tc>
          <w:tcPr>
            <w:tcW w:w="1407" w:type="dxa"/>
            <w:vAlign w:val="center"/>
          </w:tcPr>
          <w:p>
            <w:pPr>
              <w:jc w:val="center"/>
              <w:rPr>
                <w:rFonts w:ascii="宋体"/>
              </w:rPr>
            </w:pPr>
            <w:r>
              <w:rPr>
                <w:rFonts w:hint="eastAsia" w:ascii="宋体"/>
              </w:rPr>
              <w:t>98</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间接冷却水循环率</w:t>
            </w:r>
            <w:r>
              <w:rPr>
                <w:rFonts w:ascii="宋体"/>
              </w:rPr>
              <w:tab/>
            </w:r>
            <w:r>
              <w:rPr>
                <w:rFonts w:hint="eastAsia" w:ascii="宋体"/>
              </w:rPr>
              <w:t>≥</w:t>
            </w:r>
          </w:p>
        </w:tc>
        <w:tc>
          <w:tcPr>
            <w:tcW w:w="810" w:type="dxa"/>
            <w:vAlign w:val="center"/>
          </w:tcPr>
          <w:p>
            <w:pPr>
              <w:jc w:val="center"/>
              <w:rPr>
                <w:rFonts w:ascii="宋体"/>
              </w:rPr>
            </w:pPr>
            <w:r>
              <w:rPr>
                <w:rFonts w:ascii="宋体"/>
              </w:rPr>
              <w:t>%</w:t>
            </w:r>
          </w:p>
        </w:tc>
        <w:tc>
          <w:tcPr>
            <w:tcW w:w="1407" w:type="dxa"/>
            <w:vAlign w:val="center"/>
          </w:tcPr>
          <w:p>
            <w:pPr>
              <w:jc w:val="center"/>
              <w:rPr>
                <w:rFonts w:ascii="宋体"/>
              </w:rPr>
            </w:pPr>
            <w:r>
              <w:rPr>
                <w:rFonts w:hint="eastAsia" w:ascii="宋体"/>
              </w:rPr>
              <w:t>98</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蒸汽冷凝水回用率</w:t>
            </w:r>
            <w:r>
              <w:rPr>
                <w:rFonts w:hint="eastAsia" w:ascii="宋体"/>
                <w:vertAlign w:val="superscript"/>
              </w:rPr>
              <w:t>2</w:t>
            </w:r>
            <w:r>
              <w:rPr>
                <w:rFonts w:ascii="宋体"/>
              </w:rPr>
              <w:tab/>
            </w:r>
            <w:r>
              <w:rPr>
                <w:rFonts w:hint="eastAsia" w:ascii="宋体"/>
              </w:rPr>
              <w:t>≥</w:t>
            </w:r>
          </w:p>
        </w:tc>
        <w:tc>
          <w:tcPr>
            <w:tcW w:w="810" w:type="dxa"/>
            <w:vAlign w:val="center"/>
          </w:tcPr>
          <w:p>
            <w:pPr>
              <w:jc w:val="center"/>
              <w:rPr>
                <w:rFonts w:ascii="宋体"/>
              </w:rPr>
            </w:pPr>
            <w:r>
              <w:rPr>
                <w:rFonts w:ascii="宋体"/>
              </w:rPr>
              <w:t>%</w:t>
            </w:r>
          </w:p>
        </w:tc>
        <w:tc>
          <w:tcPr>
            <w:tcW w:w="1407" w:type="dxa"/>
            <w:vAlign w:val="center"/>
          </w:tcPr>
          <w:p>
            <w:pPr>
              <w:jc w:val="center"/>
              <w:rPr>
                <w:rFonts w:ascii="宋体"/>
              </w:rPr>
            </w:pPr>
            <w:r>
              <w:rPr>
                <w:rFonts w:hint="eastAsia" w:ascii="宋体"/>
              </w:rPr>
              <w:t>70</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废水回用率</w:t>
            </w:r>
            <w:r>
              <w:rPr>
                <w:rFonts w:ascii="宋体"/>
              </w:rPr>
              <w:tab/>
            </w:r>
            <w:r>
              <w:rPr>
                <w:rFonts w:hint="eastAsia" w:ascii="宋体"/>
              </w:rPr>
              <w:t>≥</w:t>
            </w:r>
          </w:p>
        </w:tc>
        <w:tc>
          <w:tcPr>
            <w:tcW w:w="810" w:type="dxa"/>
            <w:vAlign w:val="center"/>
          </w:tcPr>
          <w:p>
            <w:pPr>
              <w:jc w:val="center"/>
              <w:rPr>
                <w:rFonts w:ascii="宋体"/>
              </w:rPr>
            </w:pPr>
            <w:r>
              <w:rPr>
                <w:rFonts w:ascii="宋体"/>
              </w:rPr>
              <w:t>%</w:t>
            </w:r>
          </w:p>
        </w:tc>
        <w:tc>
          <w:tcPr>
            <w:tcW w:w="1407" w:type="dxa"/>
            <w:vAlign w:val="center"/>
          </w:tcPr>
          <w:p>
            <w:pPr>
              <w:jc w:val="center"/>
              <w:rPr>
                <w:rFonts w:ascii="宋体"/>
              </w:rPr>
            </w:pPr>
            <w:r>
              <w:rPr>
                <w:rFonts w:hint="eastAsia" w:ascii="宋体"/>
              </w:rPr>
              <w:t>50</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Align w:val="center"/>
          </w:tcPr>
          <w:p>
            <w:pPr>
              <w:jc w:val="center"/>
              <w:rPr>
                <w:rFonts w:ascii="宋体"/>
              </w:rPr>
            </w:pPr>
            <w:r>
              <w:rPr>
                <w:rFonts w:hint="eastAsia" w:ascii="宋体"/>
              </w:rPr>
              <w:t>用水漏损</w:t>
            </w:r>
          </w:p>
        </w:tc>
        <w:tc>
          <w:tcPr>
            <w:tcW w:w="4151" w:type="dxa"/>
          </w:tcPr>
          <w:p>
            <w:pPr>
              <w:tabs>
                <w:tab w:val="right" w:pos="3940"/>
              </w:tabs>
              <w:rPr>
                <w:rFonts w:ascii="宋体"/>
              </w:rPr>
            </w:pPr>
            <w:r>
              <w:rPr>
                <w:rFonts w:hint="eastAsia" w:ascii="宋体"/>
              </w:rPr>
              <w:t>用水综合漏失率</w:t>
            </w:r>
            <w:r>
              <w:rPr>
                <w:rFonts w:ascii="宋体"/>
              </w:rPr>
              <w:tab/>
            </w:r>
            <w:r>
              <w:rPr>
                <w:rFonts w:hint="eastAsia" w:ascii="宋体"/>
              </w:rPr>
              <w:t>≤</w:t>
            </w:r>
          </w:p>
        </w:tc>
        <w:tc>
          <w:tcPr>
            <w:tcW w:w="810" w:type="dxa"/>
            <w:vAlign w:val="center"/>
          </w:tcPr>
          <w:p>
            <w:pPr>
              <w:jc w:val="center"/>
              <w:rPr>
                <w:rFonts w:ascii="宋体"/>
              </w:rPr>
            </w:pPr>
            <w:r>
              <w:rPr>
                <w:rFonts w:hint="eastAsia" w:ascii="宋体"/>
              </w:rPr>
              <w:t>%</w:t>
            </w:r>
          </w:p>
        </w:tc>
        <w:tc>
          <w:tcPr>
            <w:tcW w:w="1407" w:type="dxa"/>
            <w:vAlign w:val="center"/>
          </w:tcPr>
          <w:p>
            <w:pPr>
              <w:jc w:val="center"/>
              <w:rPr>
                <w:rFonts w:ascii="宋体"/>
              </w:rPr>
            </w:pPr>
            <w:r>
              <w:rPr>
                <w:rFonts w:hint="eastAsia" w:ascii="宋体"/>
              </w:rPr>
              <w:t>5</w:t>
            </w:r>
          </w:p>
        </w:tc>
        <w:tc>
          <w:tcPr>
            <w:tcW w:w="966" w:type="dxa"/>
          </w:tcPr>
          <w:p>
            <w:pPr>
              <w:jc w:val="center"/>
              <w:rPr>
                <w:rFonts w:ascii="宋体"/>
              </w:rPr>
            </w:pPr>
            <w:r>
              <w:rPr>
                <w:rFonts w:hint="eastAsia" w:ascii="宋体"/>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restart"/>
            <w:vAlign w:val="center"/>
          </w:tcPr>
          <w:p>
            <w:pPr>
              <w:jc w:val="center"/>
              <w:rPr>
                <w:rFonts w:ascii="宋体"/>
              </w:rPr>
            </w:pPr>
            <w:r>
              <w:rPr>
                <w:rFonts w:hint="eastAsia" w:ascii="宋体"/>
              </w:rPr>
              <w:t>水计量器具配备率</w:t>
            </w:r>
          </w:p>
        </w:tc>
        <w:tc>
          <w:tcPr>
            <w:tcW w:w="4151" w:type="dxa"/>
          </w:tcPr>
          <w:p>
            <w:pPr>
              <w:tabs>
                <w:tab w:val="right" w:pos="3940"/>
              </w:tabs>
              <w:rPr>
                <w:rFonts w:ascii="宋体"/>
              </w:rPr>
            </w:pPr>
            <w:r>
              <w:rPr>
                <w:rFonts w:hint="eastAsia" w:ascii="宋体"/>
              </w:rPr>
              <w:t>用水单位</w:t>
            </w:r>
            <w:r>
              <w:rPr>
                <w:rFonts w:ascii="宋体"/>
              </w:rPr>
              <w:tab/>
            </w:r>
            <w:r>
              <w:rPr>
                <w:rFonts w:hint="eastAsia" w:ascii="宋体"/>
              </w:rPr>
              <w:t>≥</w:t>
            </w:r>
          </w:p>
        </w:tc>
        <w:tc>
          <w:tcPr>
            <w:tcW w:w="810" w:type="dxa"/>
            <w:vMerge w:val="restart"/>
            <w:vAlign w:val="center"/>
          </w:tcPr>
          <w:p>
            <w:pPr>
              <w:jc w:val="center"/>
              <w:rPr>
                <w:rFonts w:ascii="宋体"/>
              </w:rPr>
            </w:pPr>
            <w:r>
              <w:rPr>
                <w:rFonts w:hint="eastAsia" w:ascii="宋体"/>
              </w:rPr>
              <w:t>%</w:t>
            </w:r>
          </w:p>
        </w:tc>
        <w:tc>
          <w:tcPr>
            <w:tcW w:w="1407" w:type="dxa"/>
            <w:vAlign w:val="center"/>
          </w:tcPr>
          <w:p>
            <w:pPr>
              <w:jc w:val="center"/>
              <w:rPr>
                <w:rFonts w:ascii="宋体"/>
              </w:rPr>
            </w:pPr>
            <w:r>
              <w:rPr>
                <w:rFonts w:hint="eastAsia" w:ascii="宋体"/>
              </w:rPr>
              <w:t>100</w:t>
            </w:r>
          </w:p>
        </w:tc>
        <w:tc>
          <w:tcPr>
            <w:tcW w:w="966" w:type="dxa"/>
          </w:tcPr>
          <w:p>
            <w:pPr>
              <w:jc w:val="center"/>
              <w:rPr>
                <w:rFonts w:ascii="宋体"/>
              </w:rPr>
            </w:pPr>
            <w:r>
              <w:rPr>
                <w:rFonts w:hint="eastAsia" w:ascii="宋体"/>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次级用水单位</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95</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Merge w:val="continue"/>
          </w:tcPr>
          <w:p>
            <w:pPr>
              <w:jc w:val="center"/>
              <w:rPr>
                <w:rFonts w:ascii="宋体"/>
              </w:rPr>
            </w:pPr>
          </w:p>
        </w:tc>
        <w:tc>
          <w:tcPr>
            <w:tcW w:w="4151" w:type="dxa"/>
          </w:tcPr>
          <w:p>
            <w:pPr>
              <w:tabs>
                <w:tab w:val="right" w:pos="3940"/>
              </w:tabs>
              <w:rPr>
                <w:rFonts w:ascii="宋体"/>
              </w:rPr>
            </w:pPr>
            <w:r>
              <w:rPr>
                <w:rFonts w:hint="eastAsia" w:ascii="宋体"/>
              </w:rPr>
              <w:t>主要用水设备(用水系统</w:t>
            </w:r>
            <w:r>
              <w:rPr>
                <w:rFonts w:ascii="宋体"/>
              </w:rPr>
              <w:t>)</w:t>
            </w:r>
            <w:r>
              <w:rPr>
                <w:rFonts w:ascii="宋体"/>
              </w:rPr>
              <w:tab/>
            </w:r>
            <w:r>
              <w:rPr>
                <w:rFonts w:hint="eastAsia" w:ascii="宋体"/>
              </w:rPr>
              <w:t>≥</w:t>
            </w:r>
          </w:p>
        </w:tc>
        <w:tc>
          <w:tcPr>
            <w:tcW w:w="810" w:type="dxa"/>
            <w:vMerge w:val="continue"/>
          </w:tcPr>
          <w:p>
            <w:pPr>
              <w:rPr>
                <w:rFonts w:ascii="宋体"/>
              </w:rPr>
            </w:pPr>
          </w:p>
        </w:tc>
        <w:tc>
          <w:tcPr>
            <w:tcW w:w="1407" w:type="dxa"/>
            <w:vAlign w:val="center"/>
          </w:tcPr>
          <w:p>
            <w:pPr>
              <w:jc w:val="center"/>
              <w:rPr>
                <w:rFonts w:ascii="宋体"/>
              </w:rPr>
            </w:pPr>
            <w:r>
              <w:rPr>
                <w:rFonts w:hint="eastAsia" w:ascii="宋体"/>
              </w:rPr>
              <w:t>85</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Align w:val="center"/>
          </w:tcPr>
          <w:p>
            <w:pPr>
              <w:jc w:val="center"/>
              <w:rPr>
                <w:rFonts w:ascii="宋体"/>
              </w:rPr>
            </w:pPr>
            <w:r>
              <w:rPr>
                <w:rFonts w:hint="eastAsia" w:ascii="宋体"/>
              </w:rPr>
              <w:t>非常规水利用</w:t>
            </w:r>
          </w:p>
        </w:tc>
        <w:tc>
          <w:tcPr>
            <w:tcW w:w="4151" w:type="dxa"/>
          </w:tcPr>
          <w:p>
            <w:pPr>
              <w:tabs>
                <w:tab w:val="right" w:pos="3940"/>
              </w:tabs>
              <w:rPr>
                <w:rFonts w:ascii="宋体"/>
              </w:rPr>
            </w:pPr>
            <w:r>
              <w:rPr>
                <w:rFonts w:hint="eastAsia" w:ascii="宋体"/>
              </w:rPr>
              <w:t>非常规水源替代率</w:t>
            </w:r>
            <w:r>
              <w:rPr>
                <w:rFonts w:hint="eastAsia" w:ascii="宋体"/>
                <w:vertAlign w:val="superscript"/>
              </w:rPr>
              <w:t>3</w:t>
            </w:r>
            <w:r>
              <w:rPr>
                <w:rFonts w:ascii="宋体"/>
              </w:rPr>
              <w:tab/>
            </w:r>
          </w:p>
        </w:tc>
        <w:tc>
          <w:tcPr>
            <w:tcW w:w="810" w:type="dxa"/>
            <w:vAlign w:val="center"/>
          </w:tcPr>
          <w:p>
            <w:pPr>
              <w:jc w:val="center"/>
              <w:rPr>
                <w:rFonts w:ascii="宋体"/>
              </w:rPr>
            </w:pPr>
            <w:r>
              <w:rPr>
                <w:rFonts w:hint="eastAsia" w:ascii="宋体"/>
              </w:rPr>
              <w:t>%</w:t>
            </w:r>
          </w:p>
        </w:tc>
        <w:tc>
          <w:tcPr>
            <w:tcW w:w="1407" w:type="dxa"/>
            <w:vAlign w:val="center"/>
          </w:tcPr>
          <w:p>
            <w:pPr>
              <w:jc w:val="center"/>
              <w:rPr>
                <w:rFonts w:ascii="宋体"/>
              </w:rPr>
            </w:pPr>
            <w:r>
              <w:rPr>
                <w:rFonts w:hint="eastAsia" w:ascii="宋体"/>
              </w:rPr>
              <w:t>-</w:t>
            </w:r>
          </w:p>
        </w:tc>
        <w:tc>
          <w:tcPr>
            <w:tcW w:w="966" w:type="dxa"/>
          </w:tcPr>
          <w:p>
            <w:pPr>
              <w:jc w:val="center"/>
              <w:rPr>
                <w:rFonts w:ascii="宋体"/>
              </w:rPr>
            </w:pPr>
            <w:r>
              <w:rPr>
                <w:rFonts w:hint="eastAsia" w:ascii="宋体"/>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8" w:type="dxa"/>
            <w:vAlign w:val="center"/>
          </w:tcPr>
          <w:p>
            <w:pPr>
              <w:jc w:val="center"/>
              <w:rPr>
                <w:rFonts w:ascii="宋体"/>
              </w:rPr>
            </w:pPr>
            <w:r>
              <w:rPr>
                <w:rFonts w:hint="eastAsia" w:ascii="宋体"/>
              </w:rPr>
              <w:t>水源结构</w:t>
            </w:r>
          </w:p>
        </w:tc>
        <w:tc>
          <w:tcPr>
            <w:tcW w:w="4151" w:type="dxa"/>
          </w:tcPr>
          <w:p>
            <w:pPr>
              <w:tabs>
                <w:tab w:val="right" w:pos="3940"/>
              </w:tabs>
              <w:rPr>
                <w:rFonts w:ascii="宋体"/>
              </w:rPr>
            </w:pPr>
            <w:r>
              <w:rPr>
                <w:rFonts w:hint="eastAsia" w:ascii="宋体"/>
              </w:rPr>
              <w:t>使用地下水</w:t>
            </w:r>
            <w:r>
              <w:rPr>
                <w:rFonts w:hint="eastAsia" w:ascii="宋体"/>
                <w:vertAlign w:val="superscript"/>
              </w:rPr>
              <w:t>4</w:t>
            </w:r>
            <w:r>
              <w:rPr>
                <w:rFonts w:ascii="宋体"/>
              </w:rPr>
              <w:tab/>
            </w:r>
          </w:p>
        </w:tc>
        <w:tc>
          <w:tcPr>
            <w:tcW w:w="810" w:type="dxa"/>
            <w:vAlign w:val="center"/>
          </w:tcPr>
          <w:p>
            <w:pPr>
              <w:jc w:val="center"/>
              <w:rPr>
                <w:rFonts w:ascii="宋体"/>
              </w:rPr>
            </w:pPr>
          </w:p>
        </w:tc>
        <w:tc>
          <w:tcPr>
            <w:tcW w:w="1407" w:type="dxa"/>
            <w:vAlign w:val="center"/>
          </w:tcPr>
          <w:p>
            <w:pPr>
              <w:jc w:val="center"/>
              <w:rPr>
                <w:rFonts w:ascii="宋体"/>
              </w:rPr>
            </w:pPr>
            <w:r>
              <w:rPr>
                <w:rFonts w:hint="eastAsia" w:ascii="宋体"/>
              </w:rPr>
              <w:t>-</w:t>
            </w:r>
          </w:p>
        </w:tc>
        <w:tc>
          <w:tcPr>
            <w:tcW w:w="966" w:type="dxa"/>
          </w:tcPr>
          <w:p>
            <w:pPr>
              <w:jc w:val="center"/>
              <w:rPr>
                <w:rFonts w:ascii="宋体"/>
              </w:rPr>
            </w:pPr>
            <w:r>
              <w:rPr>
                <w:rFonts w:hint="eastAsia" w:ascii="宋体"/>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92" w:type="dxa"/>
            <w:gridSpan w:val="5"/>
          </w:tcPr>
          <w:p>
            <w:pPr>
              <w:ind w:firstLine="420" w:firstLineChars="200"/>
              <w:rPr>
                <w:rFonts w:ascii="Times New Roman" w:hAnsi="Times New Roman"/>
                <w:color w:val="000000"/>
              </w:rPr>
            </w:pPr>
            <w:r>
              <w:rPr>
                <w:rFonts w:hint="eastAsia" w:ascii="宋体"/>
              </w:rPr>
              <w:t>注：1、取水（单位产品取水量）计算方法见</w:t>
            </w:r>
            <w:r>
              <w:rPr>
                <w:rFonts w:hint="eastAsia" w:ascii="Times New Roman" w:hAnsi="Times New Roman"/>
                <w:color w:val="000000"/>
              </w:rPr>
              <w:t>GB/T 18916.</w:t>
            </w:r>
            <w:r>
              <w:rPr>
                <w:rFonts w:ascii="Times New Roman" w:hAnsi="Times New Roman"/>
                <w:color w:val="000000"/>
              </w:rPr>
              <w:t>50</w:t>
            </w:r>
            <w:r>
              <w:rPr>
                <w:rFonts w:hint="eastAsia" w:ascii="Times New Roman" w:hAnsi="Times New Roman"/>
                <w:color w:val="000000"/>
              </w:rPr>
              <w:t>和G</w:t>
            </w:r>
            <w:r>
              <w:rPr>
                <w:rFonts w:ascii="Times New Roman" w:hAnsi="Times New Roman"/>
                <w:color w:val="000000"/>
              </w:rPr>
              <w:t>B</w:t>
            </w:r>
            <w:r>
              <w:rPr>
                <w:rFonts w:hint="eastAsia" w:ascii="Times New Roman" w:hAnsi="Times New Roman"/>
                <w:color w:val="000000"/>
              </w:rPr>
              <w:t>/</w:t>
            </w:r>
            <w:r>
              <w:rPr>
                <w:rFonts w:ascii="Times New Roman" w:hAnsi="Times New Roman"/>
                <w:color w:val="000000"/>
              </w:rPr>
              <w:t>T 18820</w:t>
            </w:r>
            <w:r>
              <w:rPr>
                <w:rFonts w:hint="eastAsia" w:ascii="Times New Roman" w:hAnsi="Times New Roman"/>
                <w:color w:val="000000"/>
              </w:rPr>
              <w:t>。企业应根据自身情况选择技术指标后再进行评价，若满足全部技术指标要求则获得满分，若不满足全部技术指标要求则不得分。</w:t>
            </w:r>
          </w:p>
          <w:p>
            <w:pPr>
              <w:ind w:firstLine="420" w:firstLineChars="200"/>
              <w:rPr>
                <w:rFonts w:ascii="Times New Roman" w:hAnsi="Times New Roman"/>
                <w:color w:val="000000"/>
              </w:rPr>
            </w:pPr>
            <w:r>
              <w:rPr>
                <w:rFonts w:hint="eastAsia" w:ascii="Times New Roman" w:hAnsi="Times New Roman"/>
                <w:color w:val="000000"/>
              </w:rPr>
              <w:t>2、蒸汽冷凝水回用率指标仅适用于使用蒸汽锅炉的企业。若企业不使用蒸汽锅炉，则该指标分数划转至废水回用率，即废水回用率分值调整为4分。</w:t>
            </w:r>
          </w:p>
          <w:p>
            <w:pPr>
              <w:ind w:firstLine="420" w:firstLineChars="200"/>
              <w:rPr>
                <w:rFonts w:ascii="Times New Roman" w:hAnsi="Times New Roman"/>
                <w:color w:val="000000"/>
              </w:rPr>
            </w:pPr>
            <w:r>
              <w:rPr>
                <w:rFonts w:hint="eastAsia" w:ascii="Times New Roman" w:hAnsi="Times New Roman"/>
                <w:color w:val="000000"/>
              </w:rPr>
              <w:t>3、非常规水利用为加分项，使用非常规水加1分，超过取水总量的5%加2分</w:t>
            </w:r>
          </w:p>
          <w:p>
            <w:pPr>
              <w:ind w:firstLine="420" w:firstLineChars="200"/>
              <w:rPr>
                <w:rFonts w:ascii="Times New Roman" w:hAnsi="Times New Roman"/>
                <w:color w:val="000000"/>
              </w:rPr>
            </w:pPr>
            <w:r>
              <w:rPr>
                <w:rFonts w:hint="eastAsia" w:ascii="Times New Roman" w:hAnsi="Times New Roman"/>
                <w:color w:val="000000"/>
              </w:rPr>
              <w:t>4、使用地下水为扣分项，分值为负1分。</w:t>
            </w:r>
          </w:p>
        </w:tc>
      </w:tr>
      <w:bookmarkEnd w:id="118"/>
      <w:bookmarkEnd w:id="119"/>
      <w:bookmarkEnd w:id="120"/>
      <w:bookmarkEnd w:id="121"/>
    </w:tbl>
    <w:p>
      <w:pPr>
        <w:widowControl/>
        <w:jc w:val="left"/>
        <w:rPr>
          <w:rFonts w:ascii="黑体" w:eastAsia="黑体"/>
          <w:color w:val="000000"/>
          <w:kern w:val="0"/>
          <w:szCs w:val="20"/>
        </w:rPr>
      </w:pPr>
      <w:r>
        <w:rPr>
          <w:color w:val="000000"/>
        </w:rPr>
        <w:br w:type="page"/>
      </w:r>
    </w:p>
    <w:p>
      <w:pPr>
        <w:pStyle w:val="174"/>
        <w:rPr>
          <w:color w:val="000000"/>
        </w:rPr>
      </w:pPr>
      <w:r>
        <w:rPr>
          <w:color w:val="000000"/>
        </w:rPr>
        <w:br w:type="textWrapping"/>
      </w:r>
      <w:bookmarkStart w:id="122" w:name="_Toc19028965"/>
      <w:bookmarkStart w:id="123" w:name="_Toc18676021"/>
      <w:bookmarkStart w:id="124" w:name="_Toc42524593"/>
      <w:bookmarkStart w:id="125" w:name="_Toc42524664"/>
      <w:bookmarkStart w:id="126" w:name="_Toc51160060"/>
      <w:bookmarkStart w:id="127" w:name="_Toc19028822"/>
      <w:bookmarkStart w:id="128" w:name="_Toc18675445"/>
      <w:bookmarkStart w:id="129" w:name="_Toc51160112"/>
      <w:bookmarkStart w:id="130" w:name="_Toc20499446"/>
      <w:bookmarkStart w:id="131" w:name="_Toc20663444"/>
      <w:bookmarkStart w:id="132" w:name="_Toc22143381"/>
      <w:bookmarkStart w:id="133" w:name="_Toc20236124"/>
      <w:bookmarkStart w:id="134" w:name="_Toc18675955"/>
      <w:bookmarkStart w:id="135" w:name="_Toc20485890"/>
      <w:r>
        <w:rPr>
          <w:rFonts w:hint="eastAsia"/>
          <w:color w:val="000000"/>
        </w:rPr>
        <w:t>（规范性）</w:t>
      </w:r>
      <w:r>
        <w:rPr>
          <w:color w:val="000000"/>
        </w:rPr>
        <w:br w:type="textWrapping"/>
      </w:r>
      <w:r>
        <w:rPr>
          <w:rFonts w:hint="eastAsia"/>
          <w:color w:val="000000"/>
        </w:rPr>
        <w:t>节水型企业管理指标的计分方法</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91"/>
        <w:spacing w:before="312" w:after="312"/>
        <w:ind w:left="0"/>
      </w:pPr>
      <w:bookmarkStart w:id="136" w:name="_Toc51160113"/>
      <w:bookmarkStart w:id="137" w:name="_Toc22143382"/>
      <w:r>
        <w:rPr>
          <w:rFonts w:hint="eastAsia" w:ascii="Times New Roman"/>
          <w:color w:val="000000"/>
          <w:kern w:val="0"/>
          <w:szCs w:val="21"/>
        </w:rPr>
        <w:t>计分方法</w:t>
      </w:r>
      <w:bookmarkEnd w:id="136"/>
      <w:bookmarkEnd w:id="137"/>
    </w:p>
    <w:p>
      <w:pPr>
        <w:pStyle w:val="28"/>
        <w:rPr>
          <w:rFonts w:ascii="Times New Roman" w:hAnsi="Times New Roman"/>
        </w:rPr>
      </w:pPr>
      <w:r>
        <w:rPr>
          <w:rFonts w:hint="eastAsia" w:ascii="Times New Roman" w:hAnsi="Times New Roman"/>
        </w:rPr>
        <w:t>节水型企业管理指标计分方法见表A</w:t>
      </w:r>
      <w:r>
        <w:rPr>
          <w:rFonts w:ascii="Times New Roman" w:hAnsi="Times New Roman"/>
        </w:rPr>
        <w:t>.1</w:t>
      </w:r>
      <w:r>
        <w:rPr>
          <w:rFonts w:hint="eastAsia" w:ascii="Times New Roman" w:hAnsi="Times New Roman"/>
        </w:rPr>
        <w:t>。</w:t>
      </w:r>
    </w:p>
    <w:p>
      <w:pPr>
        <w:pStyle w:val="28"/>
        <w:jc w:val="center"/>
        <w:rPr>
          <w:rFonts w:ascii="Times New Roman" w:hAnsi="Times New Roman"/>
        </w:rPr>
      </w:pPr>
      <w:r>
        <w:rPr>
          <w:rFonts w:hint="eastAsia" w:ascii="Times New Roman" w:hAnsi="Times New Roman"/>
        </w:rPr>
        <w:t>表A</w:t>
      </w:r>
      <w:r>
        <w:rPr>
          <w:rFonts w:ascii="Times New Roman" w:hAnsi="Times New Roman"/>
        </w:rPr>
        <w:t xml:space="preserve">.1  </w:t>
      </w:r>
      <w:r>
        <w:rPr>
          <w:rFonts w:hint="eastAsia" w:ascii="Times New Roman" w:hAnsi="Times New Roman"/>
        </w:rPr>
        <w:t>节水型企业管理指标的计分方法</w:t>
      </w: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1843"/>
        <w:gridCol w:w="3224"/>
        <w:gridCol w:w="3155"/>
        <w:gridCol w:w="6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序号</w:t>
            </w:r>
          </w:p>
        </w:tc>
        <w:tc>
          <w:tcPr>
            <w:tcW w:w="184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评价指标</w:t>
            </w:r>
          </w:p>
        </w:tc>
        <w:tc>
          <w:tcPr>
            <w:tcW w:w="3224"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评价内容</w:t>
            </w:r>
          </w:p>
        </w:tc>
        <w:tc>
          <w:tcPr>
            <w:tcW w:w="3155"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评价方法</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1</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管理制度</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有科学合理的节水管理网络和岗位责任制</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查阅文件、网络图和工作记录</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制定节水规划和用水计划</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查阅文件和记录</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有健全的节水统计制度，应定期向相关部门报送节水统计报表</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查阅有关资料</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2</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管理机构和人员</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有主要领导负责用水、节水工作</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查阅有关文件和会议记录</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有用水、节水管理部门和专（兼）职用水、节水管理人员</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查阅有关资料</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3</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管网（设备）管理</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有详细的供水管网图、排水管网图和计量网络图</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查阅图纸和及查看现场</w:t>
            </w:r>
          </w:p>
        </w:tc>
        <w:tc>
          <w:tcPr>
            <w:tcW w:w="673" w:type="dxa"/>
            <w:vAlign w:val="center"/>
          </w:tcPr>
          <w:p>
            <w:pPr>
              <w:pStyle w:val="28"/>
              <w:ind w:firstLine="0" w:firstLineChars="0"/>
              <w:jc w:val="center"/>
              <w:rPr>
                <w:rFonts w:ascii="Times New Roman" w:hAnsi="Times New Roman"/>
                <w:color w:val="000000"/>
                <w:szCs w:val="21"/>
              </w:rPr>
            </w:pPr>
            <w:r>
              <w:rPr>
                <w:rFonts w:ascii="Times New Roman" w:hAnsi="Times New Roman"/>
                <w:color w:val="000000"/>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有日常巡查和保修检修制度，定期对管道和设备进行检修</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查阅巡查记录和落实情况</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水计量管理</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原始记录和统计台账完整规范并定期进行分析</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查阅台账和分析报告，核实数据</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内部实行定额管理，节奖超罚</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查阅定额管理节奖超罚文件和资料</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5</w:t>
            </w:r>
          </w:p>
        </w:tc>
        <w:tc>
          <w:tcPr>
            <w:tcW w:w="184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水平衡测试</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按规定周期进行水平衡测试</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查阅水平衡测试报告书及有关文件</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6</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节水技术改造及投入</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企业注重节水资金投入，每年列支一定资金用于节水工程建设、节水技术改造</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查阅有关工作记录</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vAlign w:val="center"/>
          </w:tcPr>
          <w:p>
            <w:pPr>
              <w:pStyle w:val="28"/>
              <w:ind w:firstLine="0" w:firstLineChars="0"/>
              <w:jc w:val="center"/>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使用节水新技术、新工艺、新设备</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节水设备管理好且运行正常</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7</w:t>
            </w:r>
          </w:p>
        </w:tc>
        <w:tc>
          <w:tcPr>
            <w:tcW w:w="1843" w:type="dxa"/>
            <w:vMerge w:val="restart"/>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节水宣传</w:t>
            </w: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经常开支节水管理和培训、节水宣传教育、节水奖励</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查看相关资料</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vAlign w:val="center"/>
          </w:tcPr>
          <w:p>
            <w:pPr>
              <w:pStyle w:val="28"/>
              <w:ind w:firstLine="0" w:firstLineChars="0"/>
              <w:jc w:val="center"/>
              <w:rPr>
                <w:rFonts w:ascii="Times New Roman" w:hAnsi="Times New Roman"/>
                <w:color w:val="000000"/>
                <w:szCs w:val="21"/>
              </w:rPr>
            </w:pPr>
          </w:p>
        </w:tc>
        <w:tc>
          <w:tcPr>
            <w:tcW w:w="1843" w:type="dxa"/>
            <w:vMerge w:val="continue"/>
          </w:tcPr>
          <w:p>
            <w:pPr>
              <w:pStyle w:val="28"/>
              <w:ind w:firstLine="0" w:firstLineChars="0"/>
              <w:rPr>
                <w:rFonts w:ascii="Times New Roman" w:hAnsi="Times New Roman"/>
                <w:color w:val="000000"/>
                <w:szCs w:val="21"/>
              </w:rPr>
            </w:pPr>
          </w:p>
        </w:tc>
        <w:tc>
          <w:tcPr>
            <w:tcW w:w="3224"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职工有节水意识</w:t>
            </w:r>
          </w:p>
        </w:tc>
        <w:tc>
          <w:tcPr>
            <w:tcW w:w="3155" w:type="dxa"/>
            <w:vAlign w:val="center"/>
          </w:tcPr>
          <w:p>
            <w:pPr>
              <w:pStyle w:val="28"/>
              <w:ind w:firstLine="0" w:firstLineChars="0"/>
              <w:rPr>
                <w:rFonts w:ascii="Times New Roman" w:hAnsi="Times New Roman"/>
                <w:color w:val="000000"/>
                <w:szCs w:val="21"/>
              </w:rPr>
            </w:pPr>
            <w:r>
              <w:rPr>
                <w:rFonts w:hint="eastAsia" w:ascii="Times New Roman" w:hAnsi="Times New Roman"/>
                <w:color w:val="000000"/>
                <w:szCs w:val="21"/>
              </w:rPr>
              <w:t>询问职工节水意识</w:t>
            </w:r>
          </w:p>
        </w:tc>
        <w:tc>
          <w:tcPr>
            <w:tcW w:w="673" w:type="dxa"/>
            <w:vAlign w:val="center"/>
          </w:tcPr>
          <w:p>
            <w:pPr>
              <w:pStyle w:val="28"/>
              <w:ind w:firstLine="0" w:firstLineChars="0"/>
              <w:jc w:val="center"/>
              <w:rPr>
                <w:rFonts w:ascii="Times New Roman" w:hAnsi="Times New Roman"/>
                <w:color w:val="000000"/>
                <w:szCs w:val="21"/>
              </w:rPr>
            </w:pPr>
            <w:r>
              <w:rPr>
                <w:rFonts w:hint="eastAsia" w:ascii="Times New Roman" w:hAnsi="Times New Roman"/>
                <w:color w:val="000000"/>
                <w:szCs w:val="21"/>
              </w:rPr>
              <w:t>4</w:t>
            </w:r>
          </w:p>
        </w:tc>
      </w:tr>
    </w:tbl>
    <w:p>
      <w:pPr>
        <w:rPr>
          <w:rFonts w:ascii="Times New Roman" w:hAnsi="Times New Roman"/>
          <w:kern w:val="2"/>
        </w:rPr>
      </w:pPr>
      <w:r>
        <w:rPr>
          <w:rFonts w:ascii="Times New Roman" w:hAnsi="Times New Roman"/>
          <w:kern w:val="2"/>
        </w:rPr>
        <w:br w:type="page"/>
      </w:r>
    </w:p>
    <w:p>
      <w:pPr>
        <w:pStyle w:val="28"/>
        <w:rPr>
          <w:rFonts w:ascii="Times New Roman" w:hAnsi="Times New Roman"/>
          <w:kern w:val="2"/>
        </w:rPr>
      </w:pPr>
    </w:p>
    <w:p>
      <w:pPr>
        <w:pStyle w:val="174"/>
        <w:rPr>
          <w:color w:val="000000"/>
        </w:rPr>
      </w:pPr>
      <w:r>
        <w:rPr>
          <w:color w:val="000000"/>
        </w:rPr>
        <w:br w:type="textWrapping"/>
      </w:r>
      <w:r>
        <w:rPr>
          <w:rFonts w:hint="eastAsia"/>
          <w:color w:val="000000"/>
        </w:rPr>
        <w:t>（规范性）</w:t>
      </w:r>
      <w:r>
        <w:rPr>
          <w:color w:val="000000"/>
        </w:rPr>
        <w:br w:type="textWrapping"/>
      </w:r>
      <w:r>
        <w:rPr>
          <w:rFonts w:hint="eastAsia"/>
          <w:color w:val="000000"/>
        </w:rPr>
        <w:t>节水型企业技术指标的计算方法</w:t>
      </w:r>
    </w:p>
    <w:p>
      <w:pPr>
        <w:pStyle w:val="91"/>
        <w:spacing w:before="312" w:after="312"/>
        <w:ind w:left="0"/>
        <w:rPr>
          <w:rFonts w:ascii="Times New Roman"/>
          <w:color w:val="000000"/>
          <w:kern w:val="0"/>
          <w:szCs w:val="21"/>
        </w:rPr>
      </w:pPr>
      <w:r>
        <w:rPr>
          <w:rFonts w:hint="eastAsia" w:ascii="Times New Roman"/>
          <w:color w:val="000000"/>
          <w:kern w:val="0"/>
          <w:szCs w:val="21"/>
        </w:rPr>
        <w:t>重复利用率</w:t>
      </w:r>
    </w:p>
    <w:p>
      <w:pPr>
        <w:pStyle w:val="28"/>
      </w:pPr>
      <w:r>
        <w:rPr>
          <w:rFonts w:hint="eastAsia"/>
        </w:rPr>
        <w:t>重复利用率按式（B</w:t>
      </w:r>
      <w:r>
        <w:t>.1</w:t>
      </w:r>
      <w:r>
        <w:rPr>
          <w:rFonts w:hint="eastAsia"/>
        </w:rPr>
        <w:t>）计算：</w:t>
      </w:r>
    </w:p>
    <w:p>
      <w:pPr>
        <w:pStyle w:val="28"/>
        <w:ind w:firstLine="0" w:firstLineChars="0"/>
      </w:pPr>
      <w:r>
        <w:tab/>
      </w:r>
      <m:oMath>
        <m:r>
          <m:rPr/>
          <w:rPr>
            <w:rFonts w:ascii="Cambria Math" w:hAnsi="Cambria Math"/>
          </w:rPr>
          <m:t>R=</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V</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i/>
              </w:rPr>
            </m:ctrlPr>
          </m:den>
        </m:f>
        <m:r>
          <m:rPr/>
          <w:rPr>
            <w:rFonts w:ascii="Cambria Math" w:hAnsi="Cambria Math"/>
          </w:rPr>
          <m:t>×100%</m:t>
        </m:r>
      </m:oMath>
      <w:r>
        <w:tab/>
      </w:r>
      <w:r>
        <w:t>(B.1)</w:t>
      </w:r>
    </w:p>
    <w:p>
      <w:pPr>
        <w:pStyle w:val="28"/>
      </w:pPr>
      <w:r>
        <w:rPr>
          <w:rFonts w:hint="eastAsia"/>
        </w:rPr>
        <w:t>式中：</w:t>
      </w:r>
    </w:p>
    <w:p>
      <w:pPr>
        <w:pStyle w:val="28"/>
      </w:pPr>
      <w:r>
        <w:rPr>
          <w:rFonts w:hint="eastAsia"/>
          <w:i/>
          <w:iCs/>
        </w:rPr>
        <w:t>R</w:t>
      </w:r>
      <w:r>
        <w:rPr>
          <w:i/>
          <w:iCs/>
          <w:vertAlign w:val="subscript"/>
        </w:rPr>
        <w:t xml:space="preserve"> </w:t>
      </w:r>
      <w:r>
        <w:rPr>
          <w:rFonts w:hint="eastAsia"/>
        </w:rPr>
        <w:t>——重复利用率；</w:t>
      </w:r>
    </w:p>
    <w:p>
      <w:pPr>
        <w:pStyle w:val="28"/>
      </w:pPr>
      <w:r>
        <w:rPr>
          <w:rFonts w:hint="eastAsia"/>
          <w:i/>
          <w:iCs/>
        </w:rPr>
        <w:t>V</w:t>
      </w:r>
      <w:r>
        <w:rPr>
          <w:rFonts w:hint="eastAsia"/>
          <w:vertAlign w:val="subscript"/>
        </w:rPr>
        <w:t>t</w:t>
      </w:r>
      <w:r>
        <w:rPr>
          <w:rFonts w:hint="eastAsia"/>
        </w:rPr>
        <w:t>——在统计期内，生产过程中的重复利用水量，单位为立方米（m</w:t>
      </w:r>
      <w:r>
        <w:rPr>
          <w:vertAlign w:val="superscript"/>
        </w:rPr>
        <w:t>3</w:t>
      </w:r>
      <w:r>
        <w:rPr>
          <w:rFonts w:hint="eastAsia"/>
        </w:rPr>
        <w:t>）；</w:t>
      </w:r>
    </w:p>
    <w:p>
      <w:pPr>
        <w:pStyle w:val="28"/>
        <w:rPr>
          <w:rFonts w:ascii="Times New Roman" w:hAnsi="Times New Roman"/>
          <w:color w:val="000000"/>
          <w:szCs w:val="21"/>
        </w:rPr>
      </w:pPr>
      <w:r>
        <w:rPr>
          <w:rFonts w:hint="eastAsia" w:ascii="Times New Roman" w:hAnsi="Times New Roman"/>
          <w:i/>
          <w:iCs/>
          <w:color w:val="000000"/>
          <w:szCs w:val="21"/>
        </w:rPr>
        <w:t>V</w:t>
      </w:r>
      <w:r>
        <w:rPr>
          <w:rFonts w:hint="eastAsia" w:ascii="Times New Roman" w:hAnsi="Times New Roman"/>
          <w:color w:val="000000"/>
          <w:szCs w:val="21"/>
          <w:vertAlign w:val="subscript"/>
        </w:rPr>
        <w:t>i</w:t>
      </w:r>
      <w:r>
        <w:rPr>
          <w:rFonts w:hint="eastAsia" w:ascii="Times New Roman" w:hAnsi="Times New Roman"/>
          <w:color w:val="000000"/>
          <w:szCs w:val="21"/>
        </w:rPr>
        <w:t>——</w:t>
      </w:r>
      <w:r>
        <w:rPr>
          <w:rFonts w:hint="eastAsia"/>
        </w:rPr>
        <w:t>在统计期内，生产过程中的取水量，单位为立方米（m</w:t>
      </w:r>
      <w:r>
        <w:rPr>
          <w:vertAlign w:val="superscript"/>
        </w:rPr>
        <w:t>3</w:t>
      </w:r>
      <w:r>
        <w:rPr>
          <w:rFonts w:hint="eastAsia"/>
        </w:rPr>
        <w:t>）；</w:t>
      </w:r>
    </w:p>
    <w:p>
      <w:pPr>
        <w:pStyle w:val="28"/>
        <w:rPr>
          <w:rFonts w:ascii="Times New Roman" w:hAnsi="Times New Roman"/>
          <w:color w:val="000000"/>
          <w:szCs w:val="21"/>
        </w:rPr>
      </w:pPr>
      <w:r>
        <w:rPr>
          <w:rFonts w:ascii="Times New Roman" w:hAnsi="Times New Roman"/>
          <w:i/>
          <w:iCs/>
          <w:color w:val="000000"/>
          <w:szCs w:val="21"/>
        </w:rPr>
        <w:t>V</w:t>
      </w:r>
      <w:r>
        <w:rPr>
          <w:rFonts w:hint="eastAsia" w:ascii="Times New Roman" w:hAnsi="Times New Roman"/>
          <w:color w:val="000000"/>
          <w:szCs w:val="21"/>
          <w:vertAlign w:val="subscript"/>
        </w:rPr>
        <w:t>i</w:t>
      </w:r>
      <w:r>
        <w:rPr>
          <w:rFonts w:hint="eastAsia" w:ascii="Times New Roman" w:hAnsi="Times New Roman"/>
          <w:color w:val="000000"/>
          <w:szCs w:val="21"/>
          <w:vertAlign w:val="superscript"/>
        </w:rPr>
        <w:t>`</w:t>
      </w:r>
      <w:r>
        <w:rPr>
          <w:rFonts w:hint="eastAsia" w:ascii="Times New Roman" w:hAnsi="Times New Roman"/>
          <w:color w:val="000000"/>
          <w:szCs w:val="21"/>
        </w:rPr>
        <w:t>——</w:t>
      </w:r>
      <w:r>
        <w:rPr>
          <w:rFonts w:hint="eastAsia"/>
        </w:rPr>
        <w:t>在统计期内，生产过程中的非常规水资源取水量，单位为立方米（m</w:t>
      </w:r>
      <w:r>
        <w:rPr>
          <w:vertAlign w:val="superscript"/>
        </w:rPr>
        <w:t>3</w:t>
      </w:r>
      <w:r>
        <w:rPr>
          <w:rFonts w:hint="eastAsia"/>
        </w:rPr>
        <w:t>）。</w:t>
      </w:r>
    </w:p>
    <w:p>
      <w:pPr>
        <w:pStyle w:val="91"/>
        <w:spacing w:before="312" w:after="312"/>
        <w:ind w:left="0"/>
        <w:rPr>
          <w:rFonts w:ascii="Times New Roman"/>
          <w:color w:val="000000"/>
          <w:kern w:val="0"/>
          <w:szCs w:val="21"/>
        </w:rPr>
      </w:pPr>
      <w:r>
        <w:rPr>
          <w:rFonts w:hint="eastAsia" w:ascii="Times New Roman"/>
          <w:color w:val="000000"/>
          <w:kern w:val="0"/>
          <w:szCs w:val="21"/>
        </w:rPr>
        <w:t>直接冷却水循环率</w:t>
      </w:r>
    </w:p>
    <w:p>
      <w:pPr>
        <w:pStyle w:val="28"/>
      </w:pPr>
      <w:r>
        <w:rPr>
          <w:rFonts w:hint="eastAsia"/>
        </w:rPr>
        <w:t>直接冷却水循环率按式（B</w:t>
      </w:r>
      <w:r>
        <w:t>.2</w:t>
      </w:r>
      <w:r>
        <w:rPr>
          <w:rFonts w:hint="eastAsia"/>
        </w:rPr>
        <w:t>）计算：</w:t>
      </w:r>
    </w:p>
    <w:p>
      <w:pPr>
        <w:pStyle w:val="28"/>
        <w:tabs>
          <w:tab w:val="right" w:leader="dot" w:pos="9354"/>
          <w:tab w:val="clear" w:pos="9298"/>
        </w:tabs>
        <w:ind w:firstLine="0" w:firstLineChars="0"/>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df</m:t>
                </m:r>
                <m:ctrlPr>
                  <w:rPr>
                    <w:rFonts w:ascii="Cambria Math" w:hAnsi="Cambria Math"/>
                    <w:i/>
                  </w:rPr>
                </m:ctrlPr>
              </m:sub>
            </m:sSub>
            <m:ctrlPr>
              <w:rPr>
                <w:rFonts w:ascii="Cambria Math" w:hAnsi="Cambria Math"/>
                <w:i/>
              </w:rPr>
            </m:ctrlPr>
          </m:den>
        </m:f>
        <m:r>
          <m:rPr/>
          <w:rPr>
            <w:rFonts w:ascii="Cambria Math" w:hAnsi="Cambria Math"/>
          </w:rPr>
          <m:t>×100%</m:t>
        </m:r>
      </m:oMath>
      <w:r>
        <w:tab/>
      </w:r>
      <w:r>
        <w:t>(B.2)</w:t>
      </w:r>
    </w:p>
    <w:p>
      <w:pPr>
        <w:pStyle w:val="28"/>
      </w:pPr>
      <w:r>
        <w:rPr>
          <w:rFonts w:hint="eastAsia"/>
        </w:rPr>
        <w:t>式中：</w:t>
      </w:r>
    </w:p>
    <w:p>
      <w:pPr>
        <w:pStyle w:val="28"/>
      </w:pPr>
      <w:r>
        <w:rPr>
          <w:rFonts w:hint="eastAsia"/>
          <w:i/>
          <w:iCs/>
        </w:rPr>
        <w:t>R</w:t>
      </w:r>
      <w:r>
        <w:rPr>
          <w:rFonts w:hint="eastAsia"/>
          <w:vertAlign w:val="subscript"/>
        </w:rPr>
        <w:t>d</w:t>
      </w:r>
      <w:r>
        <w:rPr>
          <w:rFonts w:hint="eastAsia"/>
        </w:rPr>
        <w:t>——直接冷却水循环率；</w:t>
      </w:r>
    </w:p>
    <w:p>
      <w:pPr>
        <w:pStyle w:val="28"/>
      </w:pPr>
      <w:r>
        <w:rPr>
          <w:rFonts w:hint="eastAsia"/>
          <w:i/>
          <w:iCs/>
        </w:rPr>
        <w:t>V</w:t>
      </w:r>
      <w:r>
        <w:rPr>
          <w:vertAlign w:val="subscript"/>
        </w:rPr>
        <w:t>dr</w:t>
      </w:r>
      <w:r>
        <w:rPr>
          <w:rFonts w:hint="eastAsia"/>
        </w:rPr>
        <w:t>——直接冷却水循环量，单位为立方米每小时（m</w:t>
      </w:r>
      <w:r>
        <w:rPr>
          <w:vertAlign w:val="superscript"/>
        </w:rPr>
        <w:t>3</w:t>
      </w:r>
      <w:r>
        <w:rPr>
          <w:rFonts w:hint="eastAsia"/>
        </w:rPr>
        <w:t>/</w:t>
      </w:r>
      <w:r>
        <w:t>h</w:t>
      </w:r>
      <w:r>
        <w:rPr>
          <w:rFonts w:hint="eastAsia"/>
        </w:rPr>
        <w:t>）；</w:t>
      </w:r>
    </w:p>
    <w:p>
      <w:pPr>
        <w:pStyle w:val="28"/>
        <w:rPr>
          <w:rFonts w:ascii="Times New Roman" w:hAnsi="Times New Roman"/>
          <w:color w:val="000000"/>
          <w:szCs w:val="21"/>
        </w:rPr>
      </w:pPr>
      <w:r>
        <w:rPr>
          <w:rFonts w:hint="eastAsia" w:ascii="Times New Roman" w:hAnsi="Times New Roman"/>
          <w:i/>
          <w:iCs/>
          <w:color w:val="000000"/>
          <w:szCs w:val="21"/>
        </w:rPr>
        <w:t>V</w:t>
      </w:r>
      <w:r>
        <w:rPr>
          <w:rFonts w:ascii="Times New Roman" w:hAnsi="Times New Roman"/>
          <w:color w:val="000000"/>
          <w:szCs w:val="21"/>
          <w:vertAlign w:val="subscript"/>
        </w:rPr>
        <w:t>df</w:t>
      </w:r>
      <w:r>
        <w:rPr>
          <w:rFonts w:hint="eastAsia" w:ascii="Times New Roman" w:hAnsi="Times New Roman"/>
          <w:color w:val="000000"/>
          <w:szCs w:val="21"/>
        </w:rPr>
        <w:t>——</w:t>
      </w:r>
      <w:r>
        <w:rPr>
          <w:rFonts w:hint="eastAsia"/>
        </w:rPr>
        <w:t>直接冷却水循环系统补充水量，单位为立方米每小时（m</w:t>
      </w:r>
      <w:r>
        <w:rPr>
          <w:vertAlign w:val="superscript"/>
        </w:rPr>
        <w:t>3</w:t>
      </w:r>
      <w:r>
        <w:rPr>
          <w:rFonts w:hint="eastAsia"/>
        </w:rPr>
        <w:t>/</w:t>
      </w:r>
      <w:r>
        <w:t>h</w:t>
      </w:r>
      <w:r>
        <w:rPr>
          <w:rFonts w:hint="eastAsia"/>
        </w:rPr>
        <w:t>）。</w:t>
      </w:r>
    </w:p>
    <w:p>
      <w:pPr>
        <w:pStyle w:val="91"/>
        <w:spacing w:before="312" w:after="312"/>
        <w:ind w:left="0"/>
        <w:rPr>
          <w:rFonts w:ascii="Times New Roman"/>
          <w:color w:val="000000"/>
          <w:kern w:val="0"/>
          <w:szCs w:val="21"/>
        </w:rPr>
      </w:pPr>
      <w:r>
        <w:rPr>
          <w:rFonts w:hint="eastAsia" w:ascii="Times New Roman"/>
          <w:color w:val="000000"/>
          <w:kern w:val="0"/>
          <w:szCs w:val="21"/>
        </w:rPr>
        <w:t>间接冷却水循环率</w:t>
      </w:r>
    </w:p>
    <w:p>
      <w:pPr>
        <w:pStyle w:val="28"/>
      </w:pPr>
      <w:r>
        <w:rPr>
          <w:rFonts w:hint="eastAsia"/>
        </w:rPr>
        <w:t>间接冷却水循环率按式（B.</w:t>
      </w:r>
      <w:r>
        <w:t>3</w:t>
      </w:r>
      <w:r>
        <w:rPr>
          <w:rFonts w:hint="eastAsia"/>
        </w:rPr>
        <w:t>）计算：</w:t>
      </w:r>
    </w:p>
    <w:p>
      <w:pPr>
        <w:pStyle w:val="28"/>
        <w:ind w:firstLine="0" w:firstLineChars="0"/>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cr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cf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cr</m:t>
                </m:r>
                <m:ctrlPr>
                  <w:rPr>
                    <w:rFonts w:ascii="Cambria Math" w:hAnsi="Cambria Math"/>
                    <w:i/>
                  </w:rPr>
                </m:ctrlPr>
              </m:sub>
            </m:sSub>
            <m:ctrlPr>
              <w:rPr>
                <w:rFonts w:ascii="Cambria Math" w:hAnsi="Cambria Math"/>
                <w:i/>
              </w:rPr>
            </m:ctrlPr>
          </m:den>
        </m:f>
        <m:r>
          <m:rPr/>
          <w:rPr>
            <w:rFonts w:ascii="Cambria Math" w:hAnsi="Cambria Math"/>
          </w:rPr>
          <m:t>×100%</m:t>
        </m:r>
      </m:oMath>
      <w:r>
        <w:tab/>
      </w:r>
      <w:r>
        <w:rPr>
          <w:rFonts w:hint="eastAsia"/>
        </w:rPr>
        <w:t>(</w:t>
      </w:r>
      <w:r>
        <w:t>B.3)</w:t>
      </w:r>
    </w:p>
    <w:p>
      <w:pPr>
        <w:pStyle w:val="28"/>
      </w:pPr>
      <w:r>
        <w:rPr>
          <w:rFonts w:hint="eastAsia"/>
        </w:rPr>
        <w:t>式中：</w:t>
      </w:r>
    </w:p>
    <w:p>
      <w:pPr>
        <w:pStyle w:val="28"/>
      </w:pPr>
      <w:r>
        <w:rPr>
          <w:rFonts w:hint="eastAsia"/>
          <w:i/>
          <w:iCs/>
        </w:rPr>
        <w:t>R</w:t>
      </w:r>
      <w:r>
        <w:t>c</w:t>
      </w:r>
      <w:r>
        <w:rPr>
          <w:rFonts w:hint="eastAsia"/>
        </w:rPr>
        <w:t>——间接冷却水循环率；</w:t>
      </w:r>
    </w:p>
    <w:p>
      <w:pPr>
        <w:pStyle w:val="28"/>
      </w:pPr>
      <w:r>
        <w:rPr>
          <w:rFonts w:hint="eastAsia"/>
          <w:i/>
          <w:iCs/>
        </w:rPr>
        <w:t>V</w:t>
      </w:r>
      <w:r>
        <w:rPr>
          <w:vertAlign w:val="subscript"/>
        </w:rPr>
        <w:t>cr</w:t>
      </w:r>
      <w:r>
        <w:rPr>
          <w:rFonts w:hint="eastAsia"/>
        </w:rPr>
        <w:t>——间接冷却水循环量，单位为立方米每小时（m</w:t>
      </w:r>
      <w:r>
        <w:rPr>
          <w:vertAlign w:val="superscript"/>
        </w:rPr>
        <w:t>3</w:t>
      </w:r>
      <w:r>
        <w:rPr>
          <w:rFonts w:hint="eastAsia"/>
        </w:rPr>
        <w:t>/</w:t>
      </w:r>
      <w:r>
        <w:t>h</w:t>
      </w:r>
      <w:r>
        <w:rPr>
          <w:rFonts w:hint="eastAsia"/>
        </w:rPr>
        <w:t>）；</w:t>
      </w:r>
    </w:p>
    <w:p>
      <w:pPr>
        <w:pStyle w:val="28"/>
      </w:pPr>
      <w:r>
        <w:rPr>
          <w:rFonts w:hint="eastAsia"/>
          <w:i/>
          <w:iCs/>
        </w:rPr>
        <w:t>V</w:t>
      </w:r>
      <w:r>
        <w:rPr>
          <w:vertAlign w:val="subscript"/>
        </w:rPr>
        <w:t>cf</w:t>
      </w:r>
      <w:r>
        <w:rPr>
          <w:rFonts w:hint="eastAsia"/>
        </w:rPr>
        <w:t>——间接冷却水循环系统补充水量，单位为立方米每小时（m</w:t>
      </w:r>
      <w:r>
        <w:rPr>
          <w:vertAlign w:val="superscript"/>
        </w:rPr>
        <w:t>3</w:t>
      </w:r>
      <w:r>
        <w:rPr>
          <w:rFonts w:hint="eastAsia"/>
        </w:rPr>
        <w:t>/</w:t>
      </w:r>
      <w:r>
        <w:t>h</w:t>
      </w:r>
      <w:r>
        <w:rPr>
          <w:rFonts w:hint="eastAsia"/>
        </w:rPr>
        <w:t>）。</w:t>
      </w:r>
    </w:p>
    <w:p>
      <w:pPr>
        <w:pStyle w:val="91"/>
        <w:spacing w:before="312" w:after="312"/>
        <w:ind w:left="0"/>
        <w:rPr>
          <w:rFonts w:ascii="Times New Roman"/>
          <w:color w:val="000000"/>
          <w:kern w:val="0"/>
          <w:szCs w:val="21"/>
        </w:rPr>
      </w:pPr>
      <w:r>
        <w:rPr>
          <w:rFonts w:hint="eastAsia" w:ascii="Times New Roman"/>
          <w:color w:val="000000"/>
          <w:kern w:val="0"/>
          <w:szCs w:val="21"/>
        </w:rPr>
        <w:t>蒸汽冷凝水回用率</w:t>
      </w:r>
    </w:p>
    <w:p>
      <w:pPr>
        <w:pStyle w:val="28"/>
      </w:pPr>
      <w:r>
        <w:rPr>
          <w:rFonts w:hint="eastAsia"/>
        </w:rPr>
        <w:t>蒸汽冷凝水回用率按式（B</w:t>
      </w:r>
      <w:r>
        <w:t>.</w:t>
      </w:r>
      <w:r>
        <w:rPr>
          <w:rFonts w:hint="eastAsia"/>
        </w:rPr>
        <w:t>4）计算：</w:t>
      </w:r>
    </w:p>
    <w:p>
      <w:pPr>
        <w:pStyle w:val="28"/>
        <w:ind w:firstLine="0" w:firstLineChars="0"/>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br</m:t>
                </m:r>
                <m:ctrlPr>
                  <w:rPr>
                    <w:rFonts w:ascii="Cambria Math" w:hAnsi="Cambria Math"/>
                    <w:i/>
                  </w:rPr>
                </m:ctrlPr>
              </m:sub>
            </m:sSub>
            <m:ctrlPr>
              <w:rPr>
                <w:rFonts w:ascii="Cambria Math" w:hAnsi="Cambria Math"/>
                <w:i/>
              </w:rPr>
            </m:ctrlPr>
          </m:num>
          <m:den>
            <m:r>
              <m:rPr/>
              <w:rPr>
                <w:rFonts w:ascii="Cambria Math" w:hAnsi="Cambria Math"/>
              </w:rPr>
              <m:t>D</m:t>
            </m:r>
            <m:ctrlPr>
              <w:rPr>
                <w:rFonts w:ascii="Cambria Math" w:hAnsi="Cambria Math"/>
                <w:i/>
              </w:rPr>
            </m:ctrlPr>
          </m:den>
        </m:f>
        <m:r>
          <m:rPr/>
          <w:rPr>
            <w:rFonts w:ascii="Cambria Math" w:hAnsi="Cambria Math"/>
          </w:rPr>
          <m:t>×ρ×100%</m:t>
        </m:r>
      </m:oMath>
      <w:r>
        <w:tab/>
      </w:r>
      <w:r>
        <w:rPr>
          <w:rFonts w:hint="eastAsia"/>
        </w:rPr>
        <w:t>(</w:t>
      </w:r>
      <w:r>
        <w:t>B.4)</w:t>
      </w:r>
    </w:p>
    <w:p>
      <w:pPr>
        <w:pStyle w:val="28"/>
      </w:pPr>
      <w:r>
        <w:rPr>
          <w:rFonts w:hint="eastAsia"/>
        </w:rPr>
        <w:t>式中：</w:t>
      </w:r>
    </w:p>
    <w:p>
      <w:pPr>
        <w:pStyle w:val="28"/>
      </w:pPr>
      <w:r>
        <w:rPr>
          <w:rFonts w:hint="eastAsia"/>
          <w:i/>
          <w:iCs/>
        </w:rPr>
        <w:t>R</w:t>
      </w:r>
      <w:r>
        <w:rPr>
          <w:vertAlign w:val="subscript"/>
        </w:rPr>
        <w:t>b</w:t>
      </w:r>
      <w:r>
        <w:rPr>
          <w:rFonts w:hint="eastAsia"/>
        </w:rPr>
        <w:t>——蒸汽冷凝水回用率；</w:t>
      </w:r>
    </w:p>
    <w:p>
      <w:pPr>
        <w:pStyle w:val="28"/>
      </w:pPr>
      <w:r>
        <w:rPr>
          <w:rFonts w:hint="eastAsia"/>
          <w:i/>
          <w:iCs/>
        </w:rPr>
        <w:t>V</w:t>
      </w:r>
      <w:r>
        <w:rPr>
          <w:vertAlign w:val="subscript"/>
        </w:rPr>
        <w:t>b</w:t>
      </w:r>
      <w:r>
        <w:rPr>
          <w:rFonts w:hint="eastAsia"/>
          <w:vertAlign w:val="subscript"/>
        </w:rPr>
        <w:t>r</w:t>
      </w:r>
      <w:r>
        <w:rPr>
          <w:rFonts w:hint="eastAsia"/>
        </w:rPr>
        <w:t>——蒸汽冷凝水回用量，单位为立方米每小时（m</w:t>
      </w:r>
      <w:r>
        <w:rPr>
          <w:vertAlign w:val="superscript"/>
        </w:rPr>
        <w:t>3</w:t>
      </w:r>
      <w:r>
        <w:rPr>
          <w:rFonts w:hint="eastAsia"/>
        </w:rPr>
        <w:t>/</w:t>
      </w:r>
      <w:r>
        <w:t>h</w:t>
      </w:r>
      <w:r>
        <w:rPr>
          <w:rFonts w:hint="eastAsia"/>
        </w:rPr>
        <w:t>）；</w:t>
      </w:r>
    </w:p>
    <w:p>
      <w:pPr>
        <w:pStyle w:val="28"/>
      </w:pPr>
      <w:r>
        <w:rPr>
          <w:rFonts w:hint="eastAsia"/>
          <w:i/>
          <w:iCs/>
        </w:rPr>
        <w:t>D</w:t>
      </w:r>
      <w:r>
        <w:rPr>
          <w:rFonts w:hint="eastAsia"/>
        </w:rPr>
        <w:t>——产汽设备的产汽量，单位为立方米每小时（m</w:t>
      </w:r>
      <w:r>
        <w:rPr>
          <w:vertAlign w:val="superscript"/>
        </w:rPr>
        <w:t>3</w:t>
      </w:r>
      <w:r>
        <w:rPr>
          <w:rFonts w:hint="eastAsia"/>
        </w:rPr>
        <w:t>/</w:t>
      </w:r>
      <w:r>
        <w:t>h</w:t>
      </w:r>
      <w:r>
        <w:rPr>
          <w:rFonts w:hint="eastAsia"/>
        </w:rPr>
        <w:t>）；</w:t>
      </w:r>
    </w:p>
    <w:p>
      <w:pPr>
        <w:pStyle w:val="28"/>
      </w:pPr>
      <w:r>
        <w:rPr>
          <w:rFonts w:hint="eastAsia"/>
          <w:i/>
          <w:iCs/>
        </w:rPr>
        <w:t>ρ</w:t>
      </w:r>
      <w:r>
        <w:rPr>
          <w:rFonts w:hint="eastAsia"/>
        </w:rPr>
        <w:t>——蒸汽体积质量，单位为吨每立方米（</w:t>
      </w:r>
      <w:r>
        <w:t>t/</w:t>
      </w:r>
      <w:r>
        <w:rPr>
          <w:rFonts w:hint="eastAsia"/>
        </w:rPr>
        <w:t>m</w:t>
      </w:r>
      <w:r>
        <w:rPr>
          <w:vertAlign w:val="superscript"/>
        </w:rPr>
        <w:t>3</w:t>
      </w:r>
      <w:r>
        <w:rPr>
          <w:rFonts w:hint="eastAsia"/>
        </w:rPr>
        <w:t>）。</w:t>
      </w:r>
    </w:p>
    <w:p>
      <w:pPr>
        <w:pStyle w:val="28"/>
      </w:pPr>
      <w:r>
        <w:rPr>
          <w:rFonts w:hint="eastAsia"/>
        </w:rPr>
        <w:t>注：V</w:t>
      </w:r>
      <w:r>
        <w:rPr>
          <w:vertAlign w:val="subscript"/>
        </w:rPr>
        <w:t>br</w:t>
      </w:r>
      <w:r>
        <w:rPr>
          <w:rFonts w:hint="eastAsia"/>
        </w:rPr>
        <w:t>、ρ均指在标准状态下。</w:t>
      </w:r>
    </w:p>
    <w:p>
      <w:pPr>
        <w:pStyle w:val="91"/>
        <w:spacing w:before="312" w:after="312"/>
        <w:ind w:left="0"/>
        <w:rPr>
          <w:rFonts w:ascii="Times New Roman"/>
          <w:color w:val="000000"/>
          <w:kern w:val="0"/>
          <w:szCs w:val="21"/>
        </w:rPr>
      </w:pPr>
      <w:r>
        <w:rPr>
          <w:rFonts w:hint="eastAsia" w:ascii="Times New Roman"/>
          <w:color w:val="000000"/>
          <w:kern w:val="0"/>
          <w:szCs w:val="21"/>
        </w:rPr>
        <w:t>废水回用率</w:t>
      </w:r>
    </w:p>
    <w:p>
      <w:pPr>
        <w:pStyle w:val="28"/>
      </w:pPr>
      <w:r>
        <w:rPr>
          <w:rFonts w:hint="eastAsia"/>
        </w:rPr>
        <w:t>废水回用率按式（B</w:t>
      </w:r>
      <w:r>
        <w:t>.</w:t>
      </w:r>
      <w:r>
        <w:rPr>
          <w:rFonts w:hint="eastAsia"/>
        </w:rPr>
        <w:t>5）计算：</w:t>
      </w:r>
    </w:p>
    <w:p>
      <w:pPr>
        <w:pStyle w:val="28"/>
        <w:ind w:firstLine="0" w:firstLineChars="0"/>
      </w:pPr>
      <w:r>
        <w:tab/>
      </w:r>
      <m:oMath>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den>
        </m:f>
        <m:r>
          <m:rPr/>
          <w:rPr>
            <w:rFonts w:ascii="Cambria Math" w:hAnsi="Cambria Math"/>
          </w:rPr>
          <m:t>×100%</m:t>
        </m:r>
      </m:oMath>
      <w:r>
        <w:tab/>
      </w:r>
      <w:r>
        <w:rPr>
          <w:rFonts w:hint="eastAsia"/>
        </w:rPr>
        <w:t>(</w:t>
      </w:r>
      <w:r>
        <w:t>B.</w:t>
      </w:r>
      <w:r>
        <w:rPr>
          <w:rFonts w:hint="eastAsia"/>
        </w:rPr>
        <w:t>5</w:t>
      </w:r>
      <w:r>
        <w:t>)</w:t>
      </w:r>
    </w:p>
    <w:p>
      <w:pPr>
        <w:pStyle w:val="28"/>
      </w:pPr>
      <w:r>
        <w:rPr>
          <w:rFonts w:hint="eastAsia"/>
        </w:rPr>
        <w:t>式中：</w:t>
      </w:r>
    </w:p>
    <w:p>
      <w:pPr>
        <w:pStyle w:val="28"/>
      </w:pPr>
      <w:r>
        <w:rPr>
          <w:rFonts w:hint="eastAsia"/>
          <w:i/>
          <w:iCs/>
        </w:rPr>
        <w:t>K</w:t>
      </w:r>
      <w:r>
        <w:rPr>
          <w:rFonts w:hint="eastAsia"/>
          <w:vertAlign w:val="subscript"/>
        </w:rPr>
        <w:t>w</w:t>
      </w:r>
      <w:r>
        <w:rPr>
          <w:rFonts w:hint="eastAsia"/>
        </w:rPr>
        <w:t>——废水回用率；</w:t>
      </w:r>
    </w:p>
    <w:p>
      <w:pPr>
        <w:pStyle w:val="28"/>
      </w:pPr>
      <w:r>
        <w:rPr>
          <w:rFonts w:hint="eastAsia"/>
          <w:i/>
          <w:iCs/>
        </w:rPr>
        <w:t>V</w:t>
      </w:r>
      <w:r>
        <w:rPr>
          <w:rFonts w:hint="eastAsia"/>
          <w:vertAlign w:val="subscript"/>
        </w:rPr>
        <w:t>w</w:t>
      </w:r>
      <w:r>
        <w:rPr>
          <w:rFonts w:hint="eastAsia"/>
        </w:rPr>
        <w:t>——在统计期内，企业对外排废水自行处理后的回用水量，单位为立方米（m³）</w:t>
      </w:r>
    </w:p>
    <w:p>
      <w:pPr>
        <w:pStyle w:val="28"/>
      </w:pPr>
      <w:r>
        <w:rPr>
          <w:rFonts w:hint="eastAsia"/>
          <w:i/>
          <w:iCs/>
        </w:rPr>
        <w:t>V</w:t>
      </w:r>
      <w:r>
        <w:rPr>
          <w:rFonts w:hint="eastAsia"/>
          <w:vertAlign w:val="subscript"/>
        </w:rPr>
        <w:t>d</w:t>
      </w:r>
      <w:r>
        <w:rPr>
          <w:rFonts w:hint="eastAsia"/>
        </w:rPr>
        <w:t>——在统计期内，企业的排水量，单位为立方米（m³）。</w:t>
      </w:r>
    </w:p>
    <w:p>
      <w:pPr>
        <w:pStyle w:val="91"/>
        <w:spacing w:before="312" w:after="312"/>
        <w:ind w:left="0"/>
        <w:rPr>
          <w:rFonts w:ascii="Times New Roman"/>
          <w:color w:val="000000"/>
          <w:kern w:val="0"/>
          <w:szCs w:val="21"/>
        </w:rPr>
      </w:pPr>
      <w:r>
        <w:rPr>
          <w:rFonts w:hint="eastAsia" w:ascii="Times New Roman"/>
          <w:color w:val="000000"/>
          <w:kern w:val="0"/>
          <w:szCs w:val="21"/>
        </w:rPr>
        <w:t>用水综合漏失率</w:t>
      </w:r>
    </w:p>
    <w:p>
      <w:pPr>
        <w:pStyle w:val="28"/>
      </w:pPr>
      <w:r>
        <w:rPr>
          <w:rFonts w:hint="eastAsia"/>
        </w:rPr>
        <w:t>用水综合漏失率按式（B</w:t>
      </w:r>
      <w:r>
        <w:t>.</w:t>
      </w:r>
      <w:r>
        <w:rPr>
          <w:rFonts w:hint="eastAsia"/>
        </w:rPr>
        <w:t>6）计算：</w:t>
      </w:r>
    </w:p>
    <w:p>
      <w:pPr>
        <w:pStyle w:val="28"/>
        <w:ind w:firstLine="0" w:firstLineChars="0"/>
      </w:pPr>
      <w:r>
        <w:tab/>
      </w:r>
      <m:oMath>
        <m:sSub>
          <m:sSubPr>
            <m:ctrlPr>
              <w:rPr>
                <w:rFonts w:ascii="Cambria Math" w:hAnsi="Cambria Math"/>
                <w:i/>
              </w:rPr>
            </m:ctrlPr>
          </m:sSubPr>
          <m:e>
            <m:r>
              <m:rPr/>
              <w:rPr>
                <w:rFonts w:ascii="Cambria Math" w:hAnsi="Cambria Math"/>
              </w:rPr>
              <m:t>K</m:t>
            </m:r>
            <m:ctrlPr>
              <w:rPr>
                <w:rFonts w:ascii="Cambria Math" w:hAnsi="Cambria Math"/>
                <w:i/>
              </w:rPr>
            </m:ctrlPr>
          </m:e>
          <m:sub>
            <m:r>
              <m:rPr/>
              <w:rPr>
                <w:rFonts w:hint="eastAsia" w:ascii="Cambria Math" w:hAnsi="Cambria Math"/>
              </w:rPr>
              <m:t>1</m:t>
            </m:r>
            <m:ctrlPr>
              <w:rPr>
                <w:rFonts w:ascii="Cambria Math" w:hAnsi="Cambria Math"/>
                <w:i/>
              </w:rPr>
            </m:ctrlPr>
          </m:sub>
        </m:sSub>
        <m:r>
          <m:rPr/>
          <w:rPr>
            <w:rFonts w:hint="eastAsia"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1</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i</m:t>
                </m:r>
                <m:ctrlPr>
                  <w:rPr>
                    <w:rFonts w:ascii="Cambria Math" w:hAnsi="Cambria Math"/>
                    <w:i/>
                  </w:rPr>
                </m:ctrlPr>
              </m:sub>
            </m:sSub>
            <m:ctrlPr>
              <w:rPr>
                <w:rFonts w:ascii="Cambria Math" w:hAnsi="Cambria Math"/>
                <w:i/>
              </w:rPr>
            </m:ctrlPr>
          </m:den>
        </m:f>
        <m:r>
          <m:rPr/>
          <w:rPr>
            <w:rFonts w:ascii="Cambria Math" w:hAnsi="Cambria Math"/>
          </w:rPr>
          <m:t>×</m:t>
        </m:r>
        <m:r>
          <m:rPr/>
          <w:rPr>
            <w:rFonts w:hint="eastAsia" w:ascii="Cambria Math" w:hAnsi="Cambria Math"/>
          </w:rPr>
          <m:t>100%</m:t>
        </m:r>
      </m:oMath>
      <w:r>
        <w:tab/>
      </w:r>
      <w:r>
        <w:rPr>
          <w:rFonts w:hint="eastAsia"/>
        </w:rPr>
        <w:t>（B</w:t>
      </w:r>
      <w:r>
        <w:t>.</w:t>
      </w:r>
      <w:r>
        <w:rPr>
          <w:rFonts w:hint="eastAsia"/>
        </w:rPr>
        <w:t>6）</w:t>
      </w:r>
    </w:p>
    <w:p>
      <w:pPr>
        <w:pStyle w:val="28"/>
      </w:pPr>
      <w:r>
        <w:rPr>
          <w:rFonts w:hint="eastAsia"/>
        </w:rPr>
        <w:t>式中：</w:t>
      </w:r>
    </w:p>
    <w:p>
      <w:pPr>
        <w:pStyle w:val="28"/>
      </w:pPr>
      <w:r>
        <w:rPr>
          <w:rFonts w:hint="eastAsia"/>
          <w:i/>
          <w:iCs/>
        </w:rPr>
        <w:t>K</w:t>
      </w:r>
      <w:r>
        <w:rPr>
          <w:vertAlign w:val="subscript"/>
        </w:rPr>
        <w:t>1</w:t>
      </w:r>
      <w:r>
        <w:rPr>
          <w:rFonts w:hint="eastAsia"/>
        </w:rPr>
        <w:t>——用水综合漏失率；</w:t>
      </w:r>
    </w:p>
    <w:p>
      <w:pPr>
        <w:pStyle w:val="28"/>
      </w:pPr>
      <w:r>
        <w:rPr>
          <w:rFonts w:hint="eastAsia"/>
          <w:i/>
          <w:iCs/>
        </w:rPr>
        <w:t>V</w:t>
      </w:r>
      <w:r>
        <w:rPr>
          <w:rFonts w:hint="eastAsia"/>
          <w:vertAlign w:val="subscript"/>
        </w:rPr>
        <w:t>1</w:t>
      </w:r>
      <w:r>
        <w:rPr>
          <w:rFonts w:hint="eastAsia"/>
        </w:rPr>
        <w:t>——在统计期内，企业的漏失水量，单位为立方米（m³）；</w:t>
      </w:r>
    </w:p>
    <w:p>
      <w:pPr>
        <w:pStyle w:val="28"/>
      </w:pPr>
      <w:r>
        <w:rPr>
          <w:rFonts w:hint="eastAsia"/>
          <w:i/>
          <w:iCs/>
        </w:rPr>
        <w:t>V</w:t>
      </w:r>
      <w:r>
        <w:rPr>
          <w:rFonts w:hint="eastAsia"/>
          <w:vertAlign w:val="subscript"/>
        </w:rPr>
        <w:t>i</w:t>
      </w:r>
      <w:r>
        <w:rPr>
          <w:rFonts w:hint="eastAsia"/>
        </w:rPr>
        <w:t>——在统计期内，企业的取水量，单位为立方米（m³）。</w:t>
      </w:r>
    </w:p>
    <w:p>
      <w:pPr>
        <w:pStyle w:val="91"/>
        <w:spacing w:before="312" w:after="312"/>
        <w:ind w:left="0"/>
        <w:rPr>
          <w:rFonts w:ascii="Times New Roman"/>
          <w:color w:val="000000"/>
          <w:kern w:val="0"/>
          <w:szCs w:val="21"/>
        </w:rPr>
      </w:pPr>
      <w:r>
        <w:rPr>
          <w:rFonts w:hint="eastAsia" w:ascii="Times New Roman"/>
          <w:color w:val="000000"/>
          <w:kern w:val="0"/>
          <w:szCs w:val="21"/>
        </w:rPr>
        <w:t>非常规水源替代率</w:t>
      </w:r>
    </w:p>
    <w:p>
      <w:pPr>
        <w:pStyle w:val="28"/>
        <w:rPr>
          <w:rFonts w:ascii="Times New Roman" w:hAnsi="Times New Roman"/>
          <w:color w:val="000000"/>
          <w:szCs w:val="21"/>
        </w:rPr>
      </w:pPr>
      <w:r>
        <w:rPr>
          <w:rFonts w:hint="eastAsia" w:ascii="Times New Roman" w:hAnsi="Times New Roman"/>
          <w:color w:val="000000"/>
          <w:szCs w:val="21"/>
        </w:rPr>
        <w:t>非常规水源替代率按式（</w:t>
      </w:r>
      <w:r>
        <w:rPr>
          <w:rFonts w:ascii="Times New Roman" w:hAnsi="Times New Roman"/>
          <w:color w:val="000000"/>
          <w:szCs w:val="21"/>
        </w:rPr>
        <w:t>B.</w:t>
      </w:r>
      <w:r>
        <w:rPr>
          <w:rFonts w:hint="eastAsia" w:ascii="Times New Roman" w:hAnsi="Times New Roman"/>
          <w:color w:val="000000"/>
          <w:szCs w:val="21"/>
        </w:rPr>
        <w:t>7）计算：</w:t>
      </w:r>
    </w:p>
    <w:p>
      <w:pPr>
        <w:pStyle w:val="28"/>
        <w:ind w:firstLine="0" w:firstLineChars="0"/>
        <w:rPr>
          <w:rFonts w:ascii="Times New Roman" w:hAnsi="Times New Roman"/>
          <w:color w:val="000000"/>
          <w:szCs w:val="21"/>
        </w:rPr>
      </w:pPr>
      <w:r>
        <w:rPr>
          <w:rFonts w:ascii="Times New Roman" w:hAnsi="Times New Roman"/>
          <w:color w:val="000000"/>
          <w:szCs w:val="21"/>
        </w:rPr>
        <w:tab/>
      </w:r>
      <m:oMath>
        <m:sSub>
          <m:sSubPr>
            <m:ctrlPr>
              <w:rPr>
                <w:rFonts w:ascii="Cambria Math" w:hAnsi="Cambria Math"/>
                <w:i/>
                <w:color w:val="000000"/>
                <w:szCs w:val="21"/>
              </w:rPr>
            </m:ctrlPr>
          </m:sSubPr>
          <m:e>
            <m:r>
              <m:rPr/>
              <w:rPr>
                <w:rFonts w:ascii="Cambria Math" w:hAnsi="Cambria Math"/>
                <w:color w:val="000000"/>
                <w:szCs w:val="21"/>
              </w:rPr>
              <m:t>K</m:t>
            </m:r>
            <m:ctrlPr>
              <w:rPr>
                <w:rFonts w:ascii="Cambria Math" w:hAnsi="Cambria Math"/>
                <w:i/>
                <w:color w:val="000000"/>
                <w:szCs w:val="21"/>
              </w:rPr>
            </m:ctrlPr>
          </m:e>
          <m:sub>
            <m:r>
              <m:rPr/>
              <w:rPr>
                <w:rFonts w:ascii="Cambria Math" w:hAnsi="Cambria Math"/>
                <w:color w:val="000000"/>
                <w:szCs w:val="21"/>
              </w:rPr>
              <m:t>ℎ</m:t>
            </m:r>
            <m:ctrlPr>
              <w:rPr>
                <w:rFonts w:ascii="Cambria Math" w:hAnsi="Cambria Math"/>
                <w:i/>
                <w:color w:val="000000"/>
                <w:szCs w:val="21"/>
              </w:rPr>
            </m:ctrlPr>
          </m:sub>
        </m:sSub>
        <m:r>
          <m:rPr/>
          <w:rPr>
            <w:rFonts w:ascii="Cambria Math" w:hAnsi="Cambria Math"/>
            <w:color w:val="000000"/>
            <w:szCs w:val="21"/>
          </w:rPr>
          <m:t>=</m:t>
        </m:r>
        <m:f>
          <m:fPr>
            <m:ctrlPr>
              <w:rPr>
                <w:rFonts w:ascii="Cambria Math" w:hAnsi="Cambria Math"/>
                <w:i/>
                <w:color w:val="000000"/>
                <w:szCs w:val="21"/>
              </w:rPr>
            </m:ctrlPr>
          </m:fPr>
          <m:num>
            <m:sSub>
              <m:sSubPr>
                <m:ctrlPr>
                  <w:rPr>
                    <w:rFonts w:ascii="Cambria Math" w:hAnsi="Cambria Math"/>
                    <w:i/>
                    <w:color w:val="000000"/>
                    <w:szCs w:val="21"/>
                  </w:rPr>
                </m:ctrlPr>
              </m:sSubPr>
              <m:e>
                <m:r>
                  <m:rPr/>
                  <w:rPr>
                    <w:rFonts w:ascii="Cambria Math" w:hAnsi="Cambria Math"/>
                    <w:color w:val="000000"/>
                    <w:szCs w:val="21"/>
                  </w:rPr>
                  <m:t>V</m:t>
                </m:r>
                <m:ctrlPr>
                  <w:rPr>
                    <w:rFonts w:ascii="Cambria Math" w:hAnsi="Cambria Math"/>
                    <w:i/>
                    <w:color w:val="000000"/>
                    <w:szCs w:val="21"/>
                  </w:rPr>
                </m:ctrlPr>
              </m:e>
              <m:sub>
                <m:r>
                  <m:rPr/>
                  <w:rPr>
                    <w:rFonts w:ascii="Cambria Math" w:hAnsi="Cambria Math"/>
                    <w:color w:val="000000"/>
                    <w:szCs w:val="21"/>
                  </w:rPr>
                  <m:t>i</m:t>
                </m:r>
                <m:r>
                  <m:rPr/>
                  <w:rPr>
                    <w:rFonts w:hint="eastAsia" w:ascii="MS Gothic" w:hAnsi="MS Gothic" w:eastAsia="MS Gothic" w:cs="MS Gothic"/>
                    <w:color w:val="000000"/>
                    <w:szCs w:val="21"/>
                  </w:rPr>
                  <m:t>ℎ</m:t>
                </m:r>
                <m:ctrlPr>
                  <w:rPr>
                    <w:rFonts w:ascii="Cambria Math" w:hAnsi="Cambria Math"/>
                    <w:i/>
                    <w:color w:val="000000"/>
                    <w:szCs w:val="21"/>
                  </w:rPr>
                </m:ctrlPr>
              </m:sub>
            </m:sSub>
            <m:ctrlPr>
              <w:rPr>
                <w:rFonts w:ascii="Cambria Math" w:hAnsi="Cambria Math"/>
                <w:i/>
                <w:color w:val="000000"/>
                <w:szCs w:val="21"/>
              </w:rPr>
            </m:ctrlPr>
          </m:num>
          <m:den>
            <m:sSub>
              <m:sSubPr>
                <m:ctrlPr>
                  <w:rPr>
                    <w:rFonts w:ascii="Cambria Math" w:hAnsi="Cambria Math"/>
                    <w:i/>
                    <w:color w:val="000000"/>
                    <w:szCs w:val="21"/>
                  </w:rPr>
                </m:ctrlPr>
              </m:sSubPr>
              <m:e>
                <m:r>
                  <m:rPr/>
                  <w:rPr>
                    <w:rFonts w:ascii="Cambria Math" w:hAnsi="Cambria Math"/>
                    <w:color w:val="000000"/>
                    <w:szCs w:val="21"/>
                  </w:rPr>
                  <m:t>V</m:t>
                </m:r>
                <m:ctrlPr>
                  <w:rPr>
                    <w:rFonts w:ascii="Cambria Math" w:hAnsi="Cambria Math"/>
                    <w:i/>
                    <w:color w:val="000000"/>
                    <w:szCs w:val="21"/>
                  </w:rPr>
                </m:ctrlPr>
              </m:e>
              <m:sub>
                <m:r>
                  <m:rPr/>
                  <w:rPr>
                    <w:rFonts w:ascii="Cambria Math" w:hAnsi="Cambria Math"/>
                    <w:color w:val="000000"/>
                    <w:szCs w:val="21"/>
                  </w:rPr>
                  <m:t>i</m:t>
                </m:r>
                <m:ctrlPr>
                  <w:rPr>
                    <w:rFonts w:ascii="Cambria Math" w:hAnsi="Cambria Math"/>
                    <w:i/>
                    <w:color w:val="000000"/>
                    <w:szCs w:val="21"/>
                  </w:rPr>
                </m:ctrlPr>
              </m:sub>
            </m:sSub>
            <m:r>
              <m:rPr/>
              <w:rPr>
                <w:rFonts w:ascii="Cambria Math" w:hAnsi="Cambria Math"/>
                <w:color w:val="000000"/>
                <w:szCs w:val="21"/>
              </w:rPr>
              <m:t>+</m:t>
            </m:r>
            <m:sSub>
              <m:sSubPr>
                <m:ctrlPr>
                  <w:rPr>
                    <w:rFonts w:ascii="Cambria Math" w:hAnsi="Cambria Math"/>
                    <w:i/>
                    <w:color w:val="000000"/>
                    <w:szCs w:val="21"/>
                  </w:rPr>
                </m:ctrlPr>
              </m:sSubPr>
              <m:e>
                <m:r>
                  <m:rPr/>
                  <w:rPr>
                    <w:rFonts w:ascii="Cambria Math" w:hAnsi="Cambria Math"/>
                    <w:color w:val="000000"/>
                    <w:szCs w:val="21"/>
                  </w:rPr>
                  <m:t>V</m:t>
                </m:r>
                <m:ctrlPr>
                  <w:rPr>
                    <w:rFonts w:ascii="Cambria Math" w:hAnsi="Cambria Math"/>
                    <w:i/>
                    <w:color w:val="000000"/>
                    <w:szCs w:val="21"/>
                  </w:rPr>
                </m:ctrlPr>
              </m:e>
              <m:sub>
                <m:r>
                  <m:rPr/>
                  <w:rPr>
                    <w:rFonts w:ascii="Cambria Math" w:hAnsi="Cambria Math"/>
                    <w:color w:val="000000"/>
                    <w:szCs w:val="21"/>
                  </w:rPr>
                  <m:t>iℎ</m:t>
                </m:r>
                <m:ctrlPr>
                  <w:rPr>
                    <w:rFonts w:ascii="Cambria Math" w:hAnsi="Cambria Math"/>
                    <w:i/>
                    <w:color w:val="000000"/>
                    <w:szCs w:val="21"/>
                  </w:rPr>
                </m:ctrlPr>
              </m:sub>
            </m:sSub>
            <m:ctrlPr>
              <w:rPr>
                <w:rFonts w:ascii="Cambria Math" w:hAnsi="Cambria Math"/>
                <w:i/>
                <w:color w:val="000000"/>
                <w:szCs w:val="21"/>
              </w:rPr>
            </m:ctrlPr>
          </m:den>
        </m:f>
        <m:r>
          <m:rPr/>
          <w:rPr>
            <w:rFonts w:ascii="Cambria Math" w:hAnsi="Cambria Math"/>
            <w:color w:val="000000"/>
            <w:szCs w:val="21"/>
          </w:rPr>
          <m:t>×100%</m:t>
        </m:r>
      </m:oMath>
      <w:r>
        <w:rPr>
          <w:rFonts w:ascii="Times New Roman" w:hAnsi="Times New Roman"/>
          <w:color w:val="000000"/>
          <w:szCs w:val="21"/>
        </w:rPr>
        <w:tab/>
      </w:r>
      <w:r>
        <w:rPr>
          <w:rFonts w:hint="eastAsia" w:ascii="Times New Roman" w:hAnsi="Times New Roman"/>
          <w:color w:val="000000"/>
          <w:szCs w:val="21"/>
        </w:rPr>
        <w:t>（B</w:t>
      </w:r>
      <w:r>
        <w:rPr>
          <w:rFonts w:ascii="Times New Roman" w:hAnsi="Times New Roman"/>
          <w:color w:val="000000"/>
          <w:szCs w:val="21"/>
        </w:rPr>
        <w:t>.</w:t>
      </w:r>
      <w:r>
        <w:rPr>
          <w:rFonts w:hint="eastAsia" w:ascii="Times New Roman" w:hAnsi="Times New Roman"/>
          <w:color w:val="000000"/>
          <w:szCs w:val="21"/>
        </w:rPr>
        <w:t>7）</w:t>
      </w:r>
    </w:p>
    <w:p>
      <w:pPr>
        <w:pStyle w:val="28"/>
        <w:rPr>
          <w:rFonts w:ascii="Times New Roman" w:hAnsi="Times New Roman"/>
          <w:color w:val="000000"/>
          <w:szCs w:val="21"/>
        </w:rPr>
      </w:pPr>
      <w:r>
        <w:rPr>
          <w:rFonts w:ascii="Times New Roman" w:hAnsi="Times New Roman"/>
          <w:i/>
          <w:iCs/>
          <w:color w:val="000000"/>
          <w:szCs w:val="21"/>
        </w:rPr>
        <w:t>K</w:t>
      </w:r>
      <w:r>
        <w:rPr>
          <w:rFonts w:ascii="Times New Roman" w:hAnsi="Times New Roman"/>
          <w:color w:val="000000"/>
          <w:szCs w:val="21"/>
          <w:vertAlign w:val="subscript"/>
        </w:rPr>
        <w:t>h</w:t>
      </w:r>
      <w:r>
        <w:rPr>
          <w:rFonts w:hint="eastAsia" w:ascii="Times New Roman" w:hAnsi="Times New Roman"/>
          <w:color w:val="000000"/>
          <w:szCs w:val="21"/>
        </w:rPr>
        <w:t>——非常规水源利用率；</w:t>
      </w:r>
    </w:p>
    <w:p>
      <w:pPr>
        <w:pStyle w:val="28"/>
        <w:rPr>
          <w:rFonts w:ascii="Times New Roman" w:hAnsi="Times New Roman"/>
          <w:color w:val="000000"/>
          <w:szCs w:val="21"/>
        </w:rPr>
      </w:pPr>
      <w:r>
        <w:rPr>
          <w:rFonts w:hint="eastAsia" w:ascii="Times New Roman" w:hAnsi="Times New Roman"/>
          <w:i/>
          <w:iCs/>
          <w:color w:val="000000"/>
          <w:szCs w:val="21"/>
        </w:rPr>
        <w:t>V</w:t>
      </w:r>
      <w:r>
        <w:rPr>
          <w:rFonts w:hint="eastAsia" w:ascii="Times New Roman" w:hAnsi="Times New Roman"/>
          <w:color w:val="000000"/>
          <w:szCs w:val="21"/>
          <w:vertAlign w:val="subscript"/>
        </w:rPr>
        <w:t>i</w:t>
      </w:r>
      <w:r>
        <w:rPr>
          <w:rFonts w:ascii="Times New Roman" w:hAnsi="Times New Roman"/>
          <w:color w:val="000000"/>
          <w:szCs w:val="21"/>
          <w:vertAlign w:val="subscript"/>
        </w:rPr>
        <w:t>h</w:t>
      </w:r>
      <w:r>
        <w:rPr>
          <w:rFonts w:hint="eastAsia" w:ascii="Times New Roman" w:hAnsi="Times New Roman"/>
          <w:color w:val="000000"/>
          <w:szCs w:val="21"/>
        </w:rPr>
        <w:t>——</w:t>
      </w:r>
      <w:r>
        <w:rPr>
          <w:rFonts w:hint="eastAsia"/>
        </w:rPr>
        <w:t>在统计期内，非常规水源所替代的取水量，单位为立方米（m³）；</w:t>
      </w:r>
    </w:p>
    <w:p>
      <w:pPr>
        <w:pStyle w:val="28"/>
        <w:rPr>
          <w:rFonts w:ascii="Times New Roman" w:hAnsi="Times New Roman"/>
          <w:color w:val="000000"/>
          <w:szCs w:val="21"/>
        </w:rPr>
      </w:pPr>
      <w:r>
        <w:rPr>
          <w:rFonts w:hint="eastAsia" w:ascii="Times New Roman" w:hAnsi="Times New Roman"/>
          <w:i/>
          <w:iCs/>
          <w:color w:val="000000"/>
          <w:szCs w:val="21"/>
        </w:rPr>
        <w:t>V</w:t>
      </w:r>
      <w:r>
        <w:rPr>
          <w:rFonts w:ascii="Times New Roman" w:hAnsi="Times New Roman"/>
          <w:color w:val="000000"/>
          <w:szCs w:val="21"/>
          <w:vertAlign w:val="subscript"/>
        </w:rPr>
        <w:t xml:space="preserve">i </w:t>
      </w:r>
      <w:r>
        <w:rPr>
          <w:rFonts w:hint="eastAsia" w:ascii="Times New Roman" w:hAnsi="Times New Roman"/>
          <w:color w:val="000000"/>
          <w:szCs w:val="21"/>
        </w:rPr>
        <w:t>——</w:t>
      </w:r>
      <w:r>
        <w:rPr>
          <w:rFonts w:hint="eastAsia"/>
        </w:rPr>
        <w:t>在统计期内，企业的取水量，单位为立方米（m³）。</w:t>
      </w:r>
    </w:p>
    <w:p>
      <w:pPr>
        <w:pStyle w:val="28"/>
        <w:rPr>
          <w:rFonts w:ascii="Times New Roman" w:hAnsi="Times New Roman"/>
          <w:color w:val="000000"/>
          <w:szCs w:val="21"/>
        </w:rPr>
      </w:pPr>
    </w:p>
    <w:p>
      <w:pPr>
        <w:widowControl/>
        <w:jc w:val="left"/>
        <w:rPr>
          <w:rFonts w:ascii="Times New Roman" w:hAnsi="Times New Roman"/>
          <w:color w:val="000000"/>
          <w:kern w:val="0"/>
          <w:szCs w:val="21"/>
        </w:rPr>
      </w:pPr>
      <w:r>
        <w:rPr>
          <w:rFonts w:ascii="Times New Roman" w:hAnsi="Times New Roman"/>
          <w:color w:val="000000"/>
          <w:szCs w:val="21"/>
        </w:rPr>
        <w:br w:type="page"/>
      </w:r>
    </w:p>
    <w:p>
      <w:pPr>
        <w:pStyle w:val="174"/>
        <w:rPr>
          <w:color w:val="000000"/>
        </w:rPr>
      </w:pPr>
      <w:r>
        <w:rPr>
          <w:color w:val="000000"/>
        </w:rPr>
        <w:br w:type="textWrapping"/>
      </w:r>
      <w:r>
        <w:rPr>
          <w:rFonts w:hint="eastAsia"/>
          <w:color w:val="000000"/>
        </w:rPr>
        <w:t>（规范性）</w:t>
      </w:r>
      <w:r>
        <w:rPr>
          <w:color w:val="000000"/>
        </w:rPr>
        <w:br w:type="textWrapping"/>
      </w:r>
      <w:r>
        <w:rPr>
          <w:rFonts w:hint="eastAsia"/>
          <w:color w:val="000000"/>
        </w:rPr>
        <w:t>节水型企业评价程序</w:t>
      </w:r>
    </w:p>
    <w:p>
      <w:pPr>
        <w:pStyle w:val="28"/>
      </w:pPr>
      <w:r>
        <w:rPr>
          <w:rFonts w:hint="eastAsia"/>
        </w:rPr>
        <w:t>C</w:t>
      </w:r>
      <w:r>
        <w:t xml:space="preserve">.1  </w:t>
      </w:r>
      <w:r>
        <w:rPr>
          <w:rFonts w:hint="eastAsia"/>
        </w:rPr>
        <w:t>建立专家评审小组，负责开展节水型企业的评价工作。</w:t>
      </w:r>
    </w:p>
    <w:p>
      <w:pPr>
        <w:pStyle w:val="28"/>
      </w:pPr>
      <w:r>
        <w:rPr>
          <w:rFonts w:hint="eastAsia"/>
        </w:rPr>
        <w:t>C.2</w:t>
      </w:r>
      <w:r>
        <w:t xml:space="preserve">  </w:t>
      </w:r>
      <w:r>
        <w:rPr>
          <w:rFonts w:hint="eastAsia"/>
        </w:rPr>
        <w:t>对聚酯涤纶行业企业进行节水型评价工作，行业分类依据为G</w:t>
      </w:r>
      <w:r>
        <w:t xml:space="preserve">B/T </w:t>
      </w:r>
      <w:r>
        <w:rPr>
          <w:rFonts w:hint="eastAsia"/>
        </w:rPr>
        <w:t>4754。</w:t>
      </w:r>
    </w:p>
    <w:p>
      <w:pPr>
        <w:pStyle w:val="28"/>
      </w:pPr>
      <w:r>
        <w:rPr>
          <w:rFonts w:hint="eastAsia"/>
        </w:rPr>
        <w:t>C.3</w:t>
      </w:r>
      <w:r>
        <w:t xml:space="preserve">  </w:t>
      </w:r>
      <w:r>
        <w:rPr>
          <w:rFonts w:hint="eastAsia"/>
        </w:rPr>
        <w:t>查看报告文件、统计报表、原始记录等；根据实际情况，开展对相关人员的座谈、实地调查、抽样调查等工作，确保数据完整和准确。</w:t>
      </w:r>
    </w:p>
    <w:p>
      <w:pPr>
        <w:pStyle w:val="28"/>
      </w:pPr>
      <w:r>
        <w:rPr>
          <w:rFonts w:hint="eastAsia"/>
        </w:rPr>
        <w:t>C.4</w:t>
      </w:r>
      <w:r>
        <w:t xml:space="preserve">  </w:t>
      </w:r>
      <w:r>
        <w:rPr>
          <w:rFonts w:hint="eastAsia"/>
        </w:rPr>
        <w:t>对资料进行分析，企业是否满足以下要求：</w:t>
      </w:r>
    </w:p>
    <w:p>
      <w:pPr>
        <w:pStyle w:val="28"/>
        <w:numPr>
          <w:ilvl w:val="0"/>
          <w:numId w:val="19"/>
        </w:numPr>
        <w:ind w:firstLineChars="0"/>
      </w:pPr>
      <w:r>
        <w:rPr>
          <w:rFonts w:hint="eastAsia"/>
        </w:rPr>
        <w:t>基本要求；</w:t>
      </w:r>
    </w:p>
    <w:p>
      <w:pPr>
        <w:pStyle w:val="28"/>
        <w:numPr>
          <w:ilvl w:val="0"/>
          <w:numId w:val="19"/>
        </w:numPr>
        <w:ind w:firstLineChars="0"/>
      </w:pPr>
      <w:r>
        <w:rPr>
          <w:rFonts w:hint="eastAsia"/>
        </w:rPr>
        <w:t>管理指标要求；</w:t>
      </w:r>
    </w:p>
    <w:p>
      <w:pPr>
        <w:pStyle w:val="28"/>
        <w:numPr>
          <w:ilvl w:val="0"/>
          <w:numId w:val="19"/>
        </w:numPr>
        <w:ind w:firstLineChars="0"/>
      </w:pPr>
      <w:r>
        <w:rPr>
          <w:rFonts w:hint="eastAsia"/>
        </w:rPr>
        <w:t>技术指标要求。</w:t>
      </w:r>
    </w:p>
    <w:p>
      <w:pPr>
        <w:pStyle w:val="28"/>
      </w:pPr>
      <w:r>
        <w:rPr>
          <w:rFonts w:hint="eastAsia"/>
        </w:rPr>
        <w:t>C.5</w:t>
      </w:r>
      <w:r>
        <w:t xml:space="preserve">  </w:t>
      </w:r>
      <w:r>
        <w:rPr>
          <w:rFonts w:hint="eastAsia"/>
        </w:rPr>
        <w:t>对企业是否满足指标要求进行综合评审。如企业满足全部基本要求；管理指标得分在</w:t>
      </w:r>
      <w:r>
        <w:rPr>
          <w:rFonts w:hint="eastAsia"/>
          <w:lang w:val="en-US" w:eastAsia="zh-CN"/>
        </w:rPr>
        <w:t>48</w:t>
      </w:r>
      <w:r>
        <w:rPr>
          <w:rFonts w:hint="eastAsia"/>
        </w:rPr>
        <w:t>分以上（含</w:t>
      </w:r>
      <w:r>
        <w:rPr>
          <w:rFonts w:hint="eastAsia"/>
          <w:lang w:val="en-US" w:eastAsia="zh-CN"/>
        </w:rPr>
        <w:t>48</w:t>
      </w:r>
      <w:r>
        <w:rPr>
          <w:rFonts w:hint="eastAsia"/>
        </w:rPr>
        <w:t>分）；技术指标得分在</w:t>
      </w:r>
      <w:r>
        <w:rPr>
          <w:rFonts w:hint="eastAsia"/>
          <w:lang w:val="en-US" w:eastAsia="zh-CN"/>
        </w:rPr>
        <w:t>32</w:t>
      </w:r>
      <w:r>
        <w:rPr>
          <w:rFonts w:hint="eastAsia"/>
        </w:rPr>
        <w:t>分以上（含</w:t>
      </w:r>
      <w:r>
        <w:rPr>
          <w:rFonts w:hint="eastAsia"/>
          <w:lang w:val="en-US" w:eastAsia="zh-CN"/>
        </w:rPr>
        <w:t>32</w:t>
      </w:r>
      <w:r>
        <w:rPr>
          <w:rFonts w:hint="eastAsia"/>
        </w:rPr>
        <w:t>分），则企业可被认定为节水型企业。</w:t>
      </w:r>
    </w:p>
    <w:p>
      <w:pPr>
        <w:pStyle w:val="28"/>
        <w:ind w:firstLine="0" w:firstLineChars="0"/>
      </w:pPr>
      <w:bookmarkStart w:id="138" w:name="_GoBack"/>
      <w:bookmarkEnd w:id="138"/>
    </w:p>
    <w:p>
      <w:pPr>
        <w:pStyle w:val="28"/>
        <w:ind w:firstLine="0" w:firstLineChars="0"/>
      </w:pPr>
    </w:p>
    <w:p>
      <w:pPr>
        <w:pStyle w:val="28"/>
        <w:ind w:firstLine="0" w:firstLineChars="0"/>
      </w:pPr>
    </w:p>
    <w:p>
      <w:pPr>
        <w:pStyle w:val="133"/>
        <w:framePr w:hSpace="0" w:wrap="around" w:hAnchor="page" w:y="307"/>
        <w:rPr>
          <w:rFonts w:hint="eastAsia"/>
          <w:color w:val="000000"/>
        </w:rPr>
      </w:pPr>
      <w:r>
        <w:rPr>
          <w:color w:val="000000"/>
        </w:rPr>
        <w:t>_________________________________</w:t>
      </w:r>
    </w:p>
    <w:p>
      <w:pPr>
        <w:pStyle w:val="133"/>
        <w:framePr w:hSpace="0" w:vSpace="0" w:wrap="auto" w:vAnchor="margin" w:hAnchor="text" w:xAlign="left" w:yAlign="inline"/>
        <w:jc w:val="center"/>
        <w:rPr>
          <w:rFonts w:hint="eastAsia" w:ascii="黑体" w:hAnsi="黑体" w:eastAsia="黑体"/>
          <w:color w:val="000000"/>
        </w:rPr>
      </w:pPr>
    </w:p>
    <w:p>
      <w:pPr>
        <w:pStyle w:val="133"/>
        <w:framePr w:hSpace="0" w:vSpace="0" w:wrap="auto" w:vAnchor="margin" w:hAnchor="text" w:xAlign="left" w:yAlign="inline"/>
        <w:jc w:val="center"/>
        <w:rPr>
          <w:rFonts w:ascii="黑体" w:hAnsi="黑体" w:eastAsia="黑体"/>
          <w:color w:val="000000"/>
        </w:rPr>
      </w:pPr>
    </w:p>
    <w:p>
      <w:pPr>
        <w:pStyle w:val="28"/>
        <w:ind w:firstLine="0" w:firstLineChars="0"/>
        <w:rPr>
          <w:rFonts w:hint="eastAsia"/>
        </w:rPr>
      </w:pPr>
    </w:p>
    <w:sectPr>
      <w:headerReference r:id="rId6" w:type="first"/>
      <w:footerReference r:id="rId8" w:type="first"/>
      <w:headerReference r:id="rId4" w:type="default"/>
      <w:headerReference r:id="rId5" w:type="even"/>
      <w:footerReference r:id="rId7" w:type="even"/>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fldChar w:fldCharType="begin"/>
    </w:r>
    <w:r>
      <w:instrText xml:space="preserve"> PAGE   \* MERGEFORMAT </w:instrText>
    </w:r>
    <w:r>
      <w:fldChar w:fldCharType="separate"/>
    </w:r>
    <w:r>
      <w:rPr>
        <w:lang w:val="zh-CN"/>
      </w:rP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rFonts w:hint="eastAsia"/>
      </w:rPr>
      <w:t>Ⅰ</w: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rFonts w:ascii="Times New Roman" w:hAnsi="Times New Roman"/>
        <w:sz w:val="21"/>
        <w:szCs w:val="21"/>
        <w:lang w:eastAsia="zh-CN"/>
      </w:rPr>
    </w:pPr>
    <w:r>
      <w:rPr>
        <w:rFonts w:ascii="Times New Roman" w:hAnsi="Times New Roman"/>
        <w:sz w:val="21"/>
        <w:szCs w:val="21"/>
      </w:rPr>
      <w:t xml:space="preserve">FZ/T </w:t>
    </w:r>
    <w:r>
      <w:rPr>
        <w:rFonts w:ascii="Times New Roman" w:hAnsi="Times New Roman"/>
        <w:sz w:val="21"/>
        <w:szCs w:val="21"/>
        <w:lang w:eastAsia="zh-CN"/>
      </w:rPr>
      <w:t>XXXXX</w:t>
    </w:r>
    <w:r>
      <w:rPr>
        <w:rFonts w:ascii="Times New Roman" w:hAnsi="Times New Roman"/>
        <w:sz w:val="21"/>
        <w:szCs w:val="21"/>
      </w:rPr>
      <w:t>—</w:t>
    </w:r>
    <w:r>
      <w:rPr>
        <w:rFonts w:ascii="Times New Roman" w:hAnsi="Times New Roman"/>
        <w:sz w:val="21"/>
        <w:szCs w:val="21"/>
        <w:lang w:eastAsia="zh-CN"/>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rPr>
        <w:rFonts w:hint="eastAsia"/>
      </w:rPr>
      <w:t>T</w:t>
    </w:r>
    <w:r>
      <w:t>/</w:t>
    </w:r>
    <w:r>
      <w:rPr>
        <w:rFonts w:hint="eastAsia"/>
      </w:rPr>
      <w:t>CNTAC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rPr>
        <w:rFonts w:hint="eastAsia"/>
      </w:rPr>
      <w:t>DB44/T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3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6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4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3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19D7427"/>
    <w:multiLevelType w:val="multilevel"/>
    <w:tmpl w:val="119D7427"/>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6">
    <w:nsid w:val="1DBF583A"/>
    <w:multiLevelType w:val="multilevel"/>
    <w:tmpl w:val="1DBF583A"/>
    <w:lvl w:ilvl="0" w:tentative="0">
      <w:start w:val="1"/>
      <w:numFmt w:val="decimal"/>
      <w:pStyle w:val="141"/>
      <w:suff w:val="nothing"/>
      <w:lvlText w:val="注%1："/>
      <w:lvlJc w:val="left"/>
      <w:pPr>
        <w:ind w:left="811" w:hanging="448"/>
      </w:pPr>
      <w:rPr>
        <w:rFonts w:hint="eastAsia" w:ascii="黑体" w:eastAsia="黑体"/>
        <w:b w:val="0"/>
        <w:i w:val="0"/>
        <w:color w:val="00000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1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13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78"/>
      <w:suff w:val="space"/>
      <w:lvlText w:val="%1"/>
      <w:lvlJc w:val="left"/>
      <w:pPr>
        <w:ind w:left="623" w:hanging="425"/>
      </w:pPr>
      <w:rPr>
        <w:rFonts w:hint="eastAsia"/>
      </w:rPr>
    </w:lvl>
    <w:lvl w:ilvl="1" w:tentative="0">
      <w:start w:val="1"/>
      <w:numFmt w:val="decimal"/>
      <w:pStyle w:val="12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73"/>
      <w:suff w:val="nothing"/>
      <w:lvlText w:val="%1——"/>
      <w:lvlJc w:val="left"/>
      <w:pPr>
        <w:ind w:left="833" w:hanging="408"/>
      </w:pPr>
      <w:rPr>
        <w:rFonts w:hint="eastAsia"/>
      </w:rPr>
    </w:lvl>
    <w:lvl w:ilvl="1" w:tentative="0">
      <w:start w:val="1"/>
      <w:numFmt w:val="bullet"/>
      <w:pStyle w:val="110"/>
      <w:lvlText w:val=""/>
      <w:lvlJc w:val="left"/>
      <w:pPr>
        <w:tabs>
          <w:tab w:val="left" w:pos="760"/>
        </w:tabs>
        <w:ind w:left="1264" w:hanging="413"/>
      </w:pPr>
      <w:rPr>
        <w:rFonts w:hint="default" w:ascii="Symbol" w:hAnsi="Symbol"/>
        <w:color w:val="auto"/>
      </w:rPr>
    </w:lvl>
    <w:lvl w:ilvl="2" w:tentative="0">
      <w:start w:val="1"/>
      <w:numFmt w:val="bullet"/>
      <w:pStyle w:val="1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10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6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1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tentative="0">
      <w:start w:val="1"/>
      <w:numFmt w:val="upperLetter"/>
      <w:pStyle w:val="158"/>
      <w:lvlText w:val="%1"/>
      <w:lvlJc w:val="left"/>
      <w:pPr>
        <w:tabs>
          <w:tab w:val="left" w:pos="0"/>
        </w:tabs>
        <w:ind w:left="0" w:hanging="425"/>
      </w:pPr>
      <w:rPr>
        <w:rFonts w:hint="eastAsia"/>
      </w:rPr>
    </w:lvl>
    <w:lvl w:ilvl="1" w:tentative="0">
      <w:start w:val="1"/>
      <w:numFmt w:val="decimal"/>
      <w:pStyle w:val="151"/>
      <w:suff w:val="nothing"/>
      <w:lvlText w:val="表%1.%2　"/>
      <w:lvlJc w:val="left"/>
      <w:pPr>
        <w:ind w:left="5954"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1"/>
      <w:suff w:val="nothing"/>
      <w:lvlText w:val="%1.%2　"/>
      <w:lvlJc w:val="left"/>
      <w:pPr>
        <w:ind w:left="284" w:firstLine="0"/>
      </w:pPr>
      <w:rPr>
        <w:rFonts w:hint="eastAsia" w:ascii="黑体" w:hAnsi="Times New Roman" w:eastAsia="黑体"/>
        <w:b w:val="0"/>
        <w:i w:val="0"/>
        <w:snapToGrid/>
        <w:spacing w:val="0"/>
        <w:w w:val="100"/>
        <w:kern w:val="21"/>
        <w:sz w:val="21"/>
      </w:rPr>
    </w:lvl>
    <w:lvl w:ilvl="2" w:tentative="0">
      <w:start w:val="1"/>
      <w:numFmt w:val="decimal"/>
      <w:suff w:val="nothing"/>
      <w:lvlText w:val="%3）"/>
      <w:lvlJc w:val="left"/>
      <w:pPr>
        <w:ind w:left="0" w:firstLine="0"/>
      </w:pPr>
      <w:rPr>
        <w:rFonts w:ascii="宋体" w:hAnsi="Calibri" w:eastAsia="宋体" w:cs="Times New Roman"/>
        <w:b w:val="0"/>
        <w:i w:val="0"/>
        <w:sz w:val="21"/>
      </w:rPr>
    </w:lvl>
    <w:lvl w:ilvl="3" w:tentative="0">
      <w:start w:val="1"/>
      <w:numFmt w:val="decimal"/>
      <w:pStyle w:val="11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56"/>
      <w:lvlText w:val="%1)"/>
      <w:lvlJc w:val="left"/>
      <w:pPr>
        <w:tabs>
          <w:tab w:val="left" w:pos="839"/>
        </w:tabs>
        <w:ind w:left="839" w:hanging="419"/>
      </w:pPr>
      <w:rPr>
        <w:rFonts w:hint="eastAsia" w:ascii="宋体" w:eastAsia="宋体"/>
        <w:b w:val="0"/>
        <w:i w:val="0"/>
        <w:sz w:val="21"/>
      </w:rPr>
    </w:lvl>
    <w:lvl w:ilvl="1" w:tentative="0">
      <w:start w:val="1"/>
      <w:numFmt w:val="decimal"/>
      <w:pStyle w:val="13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1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7"/>
  </w:num>
  <w:num w:numId="3">
    <w:abstractNumId w:val="1"/>
  </w:num>
  <w:num w:numId="4">
    <w:abstractNumId w:val="16"/>
  </w:num>
  <w:num w:numId="5">
    <w:abstractNumId w:val="12"/>
  </w:num>
  <w:num w:numId="6">
    <w:abstractNumId w:val="10"/>
  </w:num>
  <w:num w:numId="7">
    <w:abstractNumId w:val="4"/>
  </w:num>
  <w:num w:numId="8">
    <w:abstractNumId w:val="9"/>
  </w:num>
  <w:num w:numId="9">
    <w:abstractNumId w:val="15"/>
  </w:num>
  <w:num w:numId="10">
    <w:abstractNumId w:val="3"/>
  </w:num>
  <w:num w:numId="11">
    <w:abstractNumId w:val="0"/>
  </w:num>
  <w:num w:numId="12">
    <w:abstractNumId w:val="8"/>
  </w:num>
  <w:num w:numId="13">
    <w:abstractNumId w:val="18"/>
  </w:num>
  <w:num w:numId="14">
    <w:abstractNumId w:val="17"/>
  </w:num>
  <w:num w:numId="15">
    <w:abstractNumId w:val="6"/>
  </w:num>
  <w:num w:numId="16">
    <w:abstractNumId w:val="2"/>
  </w:num>
  <w:num w:numId="17">
    <w:abstractNumId w:val="14"/>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jZhZThiZjI5MDE0NDdiZmFkMzg2Yzg3NjdkMjIifQ=="/>
  </w:docVars>
  <w:rsids>
    <w:rsidRoot w:val="00035925"/>
    <w:rsid w:val="00000244"/>
    <w:rsid w:val="0000168E"/>
    <w:rsid w:val="0000185F"/>
    <w:rsid w:val="0000237A"/>
    <w:rsid w:val="0000586F"/>
    <w:rsid w:val="00007676"/>
    <w:rsid w:val="00010057"/>
    <w:rsid w:val="00012F57"/>
    <w:rsid w:val="00013D86"/>
    <w:rsid w:val="00013E02"/>
    <w:rsid w:val="0002143C"/>
    <w:rsid w:val="00021A63"/>
    <w:rsid w:val="0002334D"/>
    <w:rsid w:val="00023408"/>
    <w:rsid w:val="00023D4D"/>
    <w:rsid w:val="0002463D"/>
    <w:rsid w:val="00025A65"/>
    <w:rsid w:val="00026C31"/>
    <w:rsid w:val="00027280"/>
    <w:rsid w:val="000320A7"/>
    <w:rsid w:val="000329FD"/>
    <w:rsid w:val="000349BF"/>
    <w:rsid w:val="0003581B"/>
    <w:rsid w:val="00035925"/>
    <w:rsid w:val="0003649E"/>
    <w:rsid w:val="0004200E"/>
    <w:rsid w:val="000441D8"/>
    <w:rsid w:val="00044BC3"/>
    <w:rsid w:val="00045701"/>
    <w:rsid w:val="00050299"/>
    <w:rsid w:val="00057FDE"/>
    <w:rsid w:val="00063156"/>
    <w:rsid w:val="000635AE"/>
    <w:rsid w:val="0006381B"/>
    <w:rsid w:val="00064834"/>
    <w:rsid w:val="00064ADF"/>
    <w:rsid w:val="000651E5"/>
    <w:rsid w:val="00065A64"/>
    <w:rsid w:val="00066CCE"/>
    <w:rsid w:val="00066E6C"/>
    <w:rsid w:val="00067CDF"/>
    <w:rsid w:val="00070A82"/>
    <w:rsid w:val="00074FBE"/>
    <w:rsid w:val="00075D72"/>
    <w:rsid w:val="00081D67"/>
    <w:rsid w:val="00082735"/>
    <w:rsid w:val="00083A09"/>
    <w:rsid w:val="00084D56"/>
    <w:rsid w:val="000878E8"/>
    <w:rsid w:val="0009005E"/>
    <w:rsid w:val="00092857"/>
    <w:rsid w:val="00092A5E"/>
    <w:rsid w:val="00092CF9"/>
    <w:rsid w:val="00095783"/>
    <w:rsid w:val="000A20A9"/>
    <w:rsid w:val="000A48B1"/>
    <w:rsid w:val="000A6308"/>
    <w:rsid w:val="000A712F"/>
    <w:rsid w:val="000A7A3F"/>
    <w:rsid w:val="000B2A7C"/>
    <w:rsid w:val="000B3143"/>
    <w:rsid w:val="000C207D"/>
    <w:rsid w:val="000C3691"/>
    <w:rsid w:val="000C4BDA"/>
    <w:rsid w:val="000C4E2C"/>
    <w:rsid w:val="000C688F"/>
    <w:rsid w:val="000C6B05"/>
    <w:rsid w:val="000C6DD6"/>
    <w:rsid w:val="000C7138"/>
    <w:rsid w:val="000C73D4"/>
    <w:rsid w:val="000D1AE9"/>
    <w:rsid w:val="000D2CF3"/>
    <w:rsid w:val="000D2D43"/>
    <w:rsid w:val="000D3D4C"/>
    <w:rsid w:val="000D4E6B"/>
    <w:rsid w:val="000D4F51"/>
    <w:rsid w:val="000D5BC5"/>
    <w:rsid w:val="000D660F"/>
    <w:rsid w:val="000D718B"/>
    <w:rsid w:val="000D7ADC"/>
    <w:rsid w:val="000E00F7"/>
    <w:rsid w:val="000E0C46"/>
    <w:rsid w:val="000E3CB6"/>
    <w:rsid w:val="000E4F04"/>
    <w:rsid w:val="000F030C"/>
    <w:rsid w:val="000F129C"/>
    <w:rsid w:val="000F224B"/>
    <w:rsid w:val="000F2B72"/>
    <w:rsid w:val="000F5257"/>
    <w:rsid w:val="000F5C29"/>
    <w:rsid w:val="000F7A92"/>
    <w:rsid w:val="0010492A"/>
    <w:rsid w:val="001056DE"/>
    <w:rsid w:val="001071FC"/>
    <w:rsid w:val="00107D72"/>
    <w:rsid w:val="00111723"/>
    <w:rsid w:val="001124C0"/>
    <w:rsid w:val="00112588"/>
    <w:rsid w:val="00120F32"/>
    <w:rsid w:val="0012377A"/>
    <w:rsid w:val="00124787"/>
    <w:rsid w:val="0013175F"/>
    <w:rsid w:val="001322A2"/>
    <w:rsid w:val="00133DAC"/>
    <w:rsid w:val="00134750"/>
    <w:rsid w:val="0013689E"/>
    <w:rsid w:val="00141942"/>
    <w:rsid w:val="0014597B"/>
    <w:rsid w:val="00146181"/>
    <w:rsid w:val="0014640E"/>
    <w:rsid w:val="00150D8F"/>
    <w:rsid w:val="001512B4"/>
    <w:rsid w:val="001538CC"/>
    <w:rsid w:val="001563EB"/>
    <w:rsid w:val="00160732"/>
    <w:rsid w:val="00160CCE"/>
    <w:rsid w:val="001620A5"/>
    <w:rsid w:val="00162190"/>
    <w:rsid w:val="00162865"/>
    <w:rsid w:val="00164E53"/>
    <w:rsid w:val="00166326"/>
    <w:rsid w:val="0016699D"/>
    <w:rsid w:val="00173404"/>
    <w:rsid w:val="001737DF"/>
    <w:rsid w:val="00175159"/>
    <w:rsid w:val="00176208"/>
    <w:rsid w:val="0018211B"/>
    <w:rsid w:val="00183B12"/>
    <w:rsid w:val="001840D3"/>
    <w:rsid w:val="00185F3B"/>
    <w:rsid w:val="001861AC"/>
    <w:rsid w:val="001868E6"/>
    <w:rsid w:val="00186CC0"/>
    <w:rsid w:val="001900F8"/>
    <w:rsid w:val="00190411"/>
    <w:rsid w:val="00191258"/>
    <w:rsid w:val="00192680"/>
    <w:rsid w:val="00192B44"/>
    <w:rsid w:val="00192E44"/>
    <w:rsid w:val="00193037"/>
    <w:rsid w:val="00193534"/>
    <w:rsid w:val="001939A9"/>
    <w:rsid w:val="00193A2C"/>
    <w:rsid w:val="0019482A"/>
    <w:rsid w:val="001A10B2"/>
    <w:rsid w:val="001A14A0"/>
    <w:rsid w:val="001A288E"/>
    <w:rsid w:val="001A2E2F"/>
    <w:rsid w:val="001A4E0F"/>
    <w:rsid w:val="001A5E9D"/>
    <w:rsid w:val="001A71F4"/>
    <w:rsid w:val="001B032B"/>
    <w:rsid w:val="001B0C6A"/>
    <w:rsid w:val="001B3AEC"/>
    <w:rsid w:val="001B59F6"/>
    <w:rsid w:val="001B6708"/>
    <w:rsid w:val="001B6DC2"/>
    <w:rsid w:val="001B7BBF"/>
    <w:rsid w:val="001C149C"/>
    <w:rsid w:val="001C1B3F"/>
    <w:rsid w:val="001C21AC"/>
    <w:rsid w:val="001C31F4"/>
    <w:rsid w:val="001C47BA"/>
    <w:rsid w:val="001C59EA"/>
    <w:rsid w:val="001D121F"/>
    <w:rsid w:val="001D20FD"/>
    <w:rsid w:val="001D406C"/>
    <w:rsid w:val="001D41EE"/>
    <w:rsid w:val="001D5BCC"/>
    <w:rsid w:val="001E0380"/>
    <w:rsid w:val="001E0FB5"/>
    <w:rsid w:val="001E13B1"/>
    <w:rsid w:val="001E1B3B"/>
    <w:rsid w:val="001E2AAE"/>
    <w:rsid w:val="001E4B04"/>
    <w:rsid w:val="001E5024"/>
    <w:rsid w:val="001F0022"/>
    <w:rsid w:val="001F045D"/>
    <w:rsid w:val="001F3A19"/>
    <w:rsid w:val="001F4070"/>
    <w:rsid w:val="001F4508"/>
    <w:rsid w:val="001F5195"/>
    <w:rsid w:val="001F66A2"/>
    <w:rsid w:val="0020003A"/>
    <w:rsid w:val="00200B48"/>
    <w:rsid w:val="002019BE"/>
    <w:rsid w:val="00201AC5"/>
    <w:rsid w:val="0020227B"/>
    <w:rsid w:val="0020751F"/>
    <w:rsid w:val="00207E8B"/>
    <w:rsid w:val="002105C5"/>
    <w:rsid w:val="00211591"/>
    <w:rsid w:val="002120B7"/>
    <w:rsid w:val="002200AF"/>
    <w:rsid w:val="00224CE7"/>
    <w:rsid w:val="0023162A"/>
    <w:rsid w:val="002330C1"/>
    <w:rsid w:val="00234467"/>
    <w:rsid w:val="00235870"/>
    <w:rsid w:val="0023606E"/>
    <w:rsid w:val="00237D8D"/>
    <w:rsid w:val="00240435"/>
    <w:rsid w:val="00241DA2"/>
    <w:rsid w:val="00243739"/>
    <w:rsid w:val="00244088"/>
    <w:rsid w:val="002457E8"/>
    <w:rsid w:val="00246E33"/>
    <w:rsid w:val="00247955"/>
    <w:rsid w:val="00247FEE"/>
    <w:rsid w:val="00250E7D"/>
    <w:rsid w:val="002514C4"/>
    <w:rsid w:val="0025335B"/>
    <w:rsid w:val="0025412B"/>
    <w:rsid w:val="002565D5"/>
    <w:rsid w:val="0026170D"/>
    <w:rsid w:val="002622C0"/>
    <w:rsid w:val="0026377E"/>
    <w:rsid w:val="002708CE"/>
    <w:rsid w:val="00272843"/>
    <w:rsid w:val="00274A49"/>
    <w:rsid w:val="002778AE"/>
    <w:rsid w:val="0028005D"/>
    <w:rsid w:val="0028034A"/>
    <w:rsid w:val="00280CF6"/>
    <w:rsid w:val="0028129A"/>
    <w:rsid w:val="002814AA"/>
    <w:rsid w:val="0028269A"/>
    <w:rsid w:val="00282B8C"/>
    <w:rsid w:val="00283590"/>
    <w:rsid w:val="00286973"/>
    <w:rsid w:val="002869A2"/>
    <w:rsid w:val="002905D1"/>
    <w:rsid w:val="00294634"/>
    <w:rsid w:val="00294E70"/>
    <w:rsid w:val="002A1924"/>
    <w:rsid w:val="002A4D97"/>
    <w:rsid w:val="002A6050"/>
    <w:rsid w:val="002A65C3"/>
    <w:rsid w:val="002A7099"/>
    <w:rsid w:val="002A7420"/>
    <w:rsid w:val="002B01ED"/>
    <w:rsid w:val="002B0F12"/>
    <w:rsid w:val="002B1308"/>
    <w:rsid w:val="002B3601"/>
    <w:rsid w:val="002B4554"/>
    <w:rsid w:val="002C0F32"/>
    <w:rsid w:val="002C35AB"/>
    <w:rsid w:val="002C594A"/>
    <w:rsid w:val="002C72D8"/>
    <w:rsid w:val="002C7A0F"/>
    <w:rsid w:val="002D11FA"/>
    <w:rsid w:val="002D1E49"/>
    <w:rsid w:val="002D5457"/>
    <w:rsid w:val="002D60B0"/>
    <w:rsid w:val="002D7127"/>
    <w:rsid w:val="002E0DDF"/>
    <w:rsid w:val="002E2906"/>
    <w:rsid w:val="002E363B"/>
    <w:rsid w:val="002E5635"/>
    <w:rsid w:val="002E64C3"/>
    <w:rsid w:val="002E6A2C"/>
    <w:rsid w:val="002F1D8C"/>
    <w:rsid w:val="002F21DA"/>
    <w:rsid w:val="002F58E5"/>
    <w:rsid w:val="0030037E"/>
    <w:rsid w:val="00301F39"/>
    <w:rsid w:val="00302572"/>
    <w:rsid w:val="00316A5D"/>
    <w:rsid w:val="00321DB5"/>
    <w:rsid w:val="0032431D"/>
    <w:rsid w:val="00325926"/>
    <w:rsid w:val="00327A8A"/>
    <w:rsid w:val="00330547"/>
    <w:rsid w:val="00330BBB"/>
    <w:rsid w:val="0033199F"/>
    <w:rsid w:val="00332279"/>
    <w:rsid w:val="003354A2"/>
    <w:rsid w:val="00336610"/>
    <w:rsid w:val="00340A50"/>
    <w:rsid w:val="00340ADD"/>
    <w:rsid w:val="00343F73"/>
    <w:rsid w:val="00345060"/>
    <w:rsid w:val="00347CE7"/>
    <w:rsid w:val="003504E9"/>
    <w:rsid w:val="00351417"/>
    <w:rsid w:val="00352F96"/>
    <w:rsid w:val="0035323B"/>
    <w:rsid w:val="0035327E"/>
    <w:rsid w:val="00354ABD"/>
    <w:rsid w:val="00355128"/>
    <w:rsid w:val="003609D2"/>
    <w:rsid w:val="00363F22"/>
    <w:rsid w:val="00364AD9"/>
    <w:rsid w:val="00370554"/>
    <w:rsid w:val="003706E1"/>
    <w:rsid w:val="003728C5"/>
    <w:rsid w:val="00373C6D"/>
    <w:rsid w:val="003751A2"/>
    <w:rsid w:val="00375564"/>
    <w:rsid w:val="00376530"/>
    <w:rsid w:val="0038245B"/>
    <w:rsid w:val="00383191"/>
    <w:rsid w:val="003840C8"/>
    <w:rsid w:val="003856AF"/>
    <w:rsid w:val="0038607F"/>
    <w:rsid w:val="00386C87"/>
    <w:rsid w:val="00386DED"/>
    <w:rsid w:val="00387105"/>
    <w:rsid w:val="00387135"/>
    <w:rsid w:val="003912E7"/>
    <w:rsid w:val="003917B0"/>
    <w:rsid w:val="00391D10"/>
    <w:rsid w:val="00393947"/>
    <w:rsid w:val="00394F87"/>
    <w:rsid w:val="003A1759"/>
    <w:rsid w:val="003A2275"/>
    <w:rsid w:val="003A2AEC"/>
    <w:rsid w:val="003A3F7E"/>
    <w:rsid w:val="003A448B"/>
    <w:rsid w:val="003A6A4F"/>
    <w:rsid w:val="003A7088"/>
    <w:rsid w:val="003A7EF2"/>
    <w:rsid w:val="003B00DF"/>
    <w:rsid w:val="003B11A8"/>
    <w:rsid w:val="003B1275"/>
    <w:rsid w:val="003B1778"/>
    <w:rsid w:val="003B3F8F"/>
    <w:rsid w:val="003C021B"/>
    <w:rsid w:val="003C11CB"/>
    <w:rsid w:val="003C1A70"/>
    <w:rsid w:val="003C1AB4"/>
    <w:rsid w:val="003C1BFA"/>
    <w:rsid w:val="003C2323"/>
    <w:rsid w:val="003C512C"/>
    <w:rsid w:val="003C5727"/>
    <w:rsid w:val="003C5B72"/>
    <w:rsid w:val="003C75F3"/>
    <w:rsid w:val="003C78A3"/>
    <w:rsid w:val="003D19C2"/>
    <w:rsid w:val="003D23F1"/>
    <w:rsid w:val="003D2CA4"/>
    <w:rsid w:val="003D4275"/>
    <w:rsid w:val="003D43DE"/>
    <w:rsid w:val="003D5629"/>
    <w:rsid w:val="003D683C"/>
    <w:rsid w:val="003E01AC"/>
    <w:rsid w:val="003E1474"/>
    <w:rsid w:val="003E1867"/>
    <w:rsid w:val="003E1E7A"/>
    <w:rsid w:val="003E3D97"/>
    <w:rsid w:val="003E5729"/>
    <w:rsid w:val="003E5ACB"/>
    <w:rsid w:val="003E65D2"/>
    <w:rsid w:val="003E726B"/>
    <w:rsid w:val="003E7EA2"/>
    <w:rsid w:val="003F049F"/>
    <w:rsid w:val="003F146C"/>
    <w:rsid w:val="003F4EE0"/>
    <w:rsid w:val="003F7F73"/>
    <w:rsid w:val="004019FE"/>
    <w:rsid w:val="00402153"/>
    <w:rsid w:val="00402FC1"/>
    <w:rsid w:val="00403444"/>
    <w:rsid w:val="00406CFA"/>
    <w:rsid w:val="0041358B"/>
    <w:rsid w:val="00415B65"/>
    <w:rsid w:val="00420B0F"/>
    <w:rsid w:val="00420C30"/>
    <w:rsid w:val="004233DB"/>
    <w:rsid w:val="0042409E"/>
    <w:rsid w:val="00425082"/>
    <w:rsid w:val="004279F6"/>
    <w:rsid w:val="004304FF"/>
    <w:rsid w:val="004307BA"/>
    <w:rsid w:val="00431DEB"/>
    <w:rsid w:val="00433C87"/>
    <w:rsid w:val="004354CC"/>
    <w:rsid w:val="004354E6"/>
    <w:rsid w:val="00437392"/>
    <w:rsid w:val="004406DB"/>
    <w:rsid w:val="00441522"/>
    <w:rsid w:val="0044530C"/>
    <w:rsid w:val="00446B29"/>
    <w:rsid w:val="00452889"/>
    <w:rsid w:val="0045312A"/>
    <w:rsid w:val="00453621"/>
    <w:rsid w:val="00453F9A"/>
    <w:rsid w:val="00454B10"/>
    <w:rsid w:val="00456218"/>
    <w:rsid w:val="00463A8E"/>
    <w:rsid w:val="004646E7"/>
    <w:rsid w:val="0046478C"/>
    <w:rsid w:val="0047144A"/>
    <w:rsid w:val="00471E91"/>
    <w:rsid w:val="00472D75"/>
    <w:rsid w:val="00473010"/>
    <w:rsid w:val="00474675"/>
    <w:rsid w:val="0047470C"/>
    <w:rsid w:val="00480159"/>
    <w:rsid w:val="004836C7"/>
    <w:rsid w:val="00483891"/>
    <w:rsid w:val="004841AC"/>
    <w:rsid w:val="00485899"/>
    <w:rsid w:val="00487E24"/>
    <w:rsid w:val="004946DF"/>
    <w:rsid w:val="00497368"/>
    <w:rsid w:val="004A1FBC"/>
    <w:rsid w:val="004A35F9"/>
    <w:rsid w:val="004A37C6"/>
    <w:rsid w:val="004A3930"/>
    <w:rsid w:val="004A4FB5"/>
    <w:rsid w:val="004B24C1"/>
    <w:rsid w:val="004B376C"/>
    <w:rsid w:val="004B3C90"/>
    <w:rsid w:val="004C0FC0"/>
    <w:rsid w:val="004C292F"/>
    <w:rsid w:val="004C729A"/>
    <w:rsid w:val="004D0484"/>
    <w:rsid w:val="004D0B4E"/>
    <w:rsid w:val="004D13D2"/>
    <w:rsid w:val="004D430F"/>
    <w:rsid w:val="004D5A34"/>
    <w:rsid w:val="004D5CCE"/>
    <w:rsid w:val="004D65F8"/>
    <w:rsid w:val="004E1EDE"/>
    <w:rsid w:val="004E2EB4"/>
    <w:rsid w:val="004E4331"/>
    <w:rsid w:val="004F3288"/>
    <w:rsid w:val="004F38AA"/>
    <w:rsid w:val="004F5C1C"/>
    <w:rsid w:val="004F7FAF"/>
    <w:rsid w:val="00500612"/>
    <w:rsid w:val="00507C83"/>
    <w:rsid w:val="00510280"/>
    <w:rsid w:val="00510333"/>
    <w:rsid w:val="00513D73"/>
    <w:rsid w:val="00514A43"/>
    <w:rsid w:val="00514A4E"/>
    <w:rsid w:val="00515C42"/>
    <w:rsid w:val="005174E5"/>
    <w:rsid w:val="00517703"/>
    <w:rsid w:val="005200E6"/>
    <w:rsid w:val="00522393"/>
    <w:rsid w:val="00522584"/>
    <w:rsid w:val="00522620"/>
    <w:rsid w:val="00522A2A"/>
    <w:rsid w:val="005245A5"/>
    <w:rsid w:val="00525656"/>
    <w:rsid w:val="0053069D"/>
    <w:rsid w:val="005323B3"/>
    <w:rsid w:val="005324B6"/>
    <w:rsid w:val="005347DD"/>
    <w:rsid w:val="00534C02"/>
    <w:rsid w:val="0054264B"/>
    <w:rsid w:val="00543786"/>
    <w:rsid w:val="0054476F"/>
    <w:rsid w:val="0055196E"/>
    <w:rsid w:val="0055260B"/>
    <w:rsid w:val="005529B6"/>
    <w:rsid w:val="005533D7"/>
    <w:rsid w:val="005534BB"/>
    <w:rsid w:val="00557339"/>
    <w:rsid w:val="00560714"/>
    <w:rsid w:val="005618A3"/>
    <w:rsid w:val="005703DE"/>
    <w:rsid w:val="00571AE9"/>
    <w:rsid w:val="005725A0"/>
    <w:rsid w:val="005757C8"/>
    <w:rsid w:val="005757EC"/>
    <w:rsid w:val="0057655C"/>
    <w:rsid w:val="0058167A"/>
    <w:rsid w:val="00583FED"/>
    <w:rsid w:val="0058464E"/>
    <w:rsid w:val="00585E88"/>
    <w:rsid w:val="00586547"/>
    <w:rsid w:val="00586AD9"/>
    <w:rsid w:val="005909B0"/>
    <w:rsid w:val="00593B48"/>
    <w:rsid w:val="00596DAD"/>
    <w:rsid w:val="00596E75"/>
    <w:rsid w:val="00597395"/>
    <w:rsid w:val="005A01CB"/>
    <w:rsid w:val="005A03A7"/>
    <w:rsid w:val="005A3D76"/>
    <w:rsid w:val="005A4416"/>
    <w:rsid w:val="005A4E56"/>
    <w:rsid w:val="005A58FF"/>
    <w:rsid w:val="005A5C5F"/>
    <w:rsid w:val="005A5EAF"/>
    <w:rsid w:val="005A64C0"/>
    <w:rsid w:val="005A781C"/>
    <w:rsid w:val="005A7ED4"/>
    <w:rsid w:val="005B08E3"/>
    <w:rsid w:val="005B11B6"/>
    <w:rsid w:val="005B3C11"/>
    <w:rsid w:val="005C14C9"/>
    <w:rsid w:val="005C14CC"/>
    <w:rsid w:val="005C18ED"/>
    <w:rsid w:val="005C1C28"/>
    <w:rsid w:val="005C39AB"/>
    <w:rsid w:val="005C49D0"/>
    <w:rsid w:val="005C6DB5"/>
    <w:rsid w:val="005C76E0"/>
    <w:rsid w:val="005C7D1D"/>
    <w:rsid w:val="005D12A6"/>
    <w:rsid w:val="005D1921"/>
    <w:rsid w:val="005D1C6D"/>
    <w:rsid w:val="005E0613"/>
    <w:rsid w:val="005E065F"/>
    <w:rsid w:val="005E08B6"/>
    <w:rsid w:val="005E19E7"/>
    <w:rsid w:val="005E20B2"/>
    <w:rsid w:val="005E385F"/>
    <w:rsid w:val="005F0D35"/>
    <w:rsid w:val="005F52A3"/>
    <w:rsid w:val="005F6247"/>
    <w:rsid w:val="005F7EA1"/>
    <w:rsid w:val="00605183"/>
    <w:rsid w:val="006059F4"/>
    <w:rsid w:val="0060607D"/>
    <w:rsid w:val="00610232"/>
    <w:rsid w:val="006113FB"/>
    <w:rsid w:val="0061386F"/>
    <w:rsid w:val="0061716C"/>
    <w:rsid w:val="00620A20"/>
    <w:rsid w:val="0062247E"/>
    <w:rsid w:val="006243A1"/>
    <w:rsid w:val="00624AA0"/>
    <w:rsid w:val="00625BC1"/>
    <w:rsid w:val="006307A2"/>
    <w:rsid w:val="00632E56"/>
    <w:rsid w:val="006339AE"/>
    <w:rsid w:val="00633EB4"/>
    <w:rsid w:val="00635CBA"/>
    <w:rsid w:val="00640FB6"/>
    <w:rsid w:val="0064338B"/>
    <w:rsid w:val="00644512"/>
    <w:rsid w:val="00646542"/>
    <w:rsid w:val="006473B7"/>
    <w:rsid w:val="006476B4"/>
    <w:rsid w:val="006504F4"/>
    <w:rsid w:val="00650CA9"/>
    <w:rsid w:val="00650E57"/>
    <w:rsid w:val="00653BCA"/>
    <w:rsid w:val="00654BC9"/>
    <w:rsid w:val="006552FD"/>
    <w:rsid w:val="00661773"/>
    <w:rsid w:val="00663AF3"/>
    <w:rsid w:val="0066417C"/>
    <w:rsid w:val="00666B6C"/>
    <w:rsid w:val="006704EB"/>
    <w:rsid w:val="006737E6"/>
    <w:rsid w:val="006739CA"/>
    <w:rsid w:val="00674107"/>
    <w:rsid w:val="00674825"/>
    <w:rsid w:val="00681246"/>
    <w:rsid w:val="00682522"/>
    <w:rsid w:val="00682682"/>
    <w:rsid w:val="006826F3"/>
    <w:rsid w:val="00682702"/>
    <w:rsid w:val="00682CAE"/>
    <w:rsid w:val="00691D3D"/>
    <w:rsid w:val="00692368"/>
    <w:rsid w:val="00696AC7"/>
    <w:rsid w:val="006975D3"/>
    <w:rsid w:val="006A2EBC"/>
    <w:rsid w:val="006A5EA0"/>
    <w:rsid w:val="006A783B"/>
    <w:rsid w:val="006A7B33"/>
    <w:rsid w:val="006A7F0B"/>
    <w:rsid w:val="006B0E09"/>
    <w:rsid w:val="006B2287"/>
    <w:rsid w:val="006B40E1"/>
    <w:rsid w:val="006B4E13"/>
    <w:rsid w:val="006B7551"/>
    <w:rsid w:val="006B75DD"/>
    <w:rsid w:val="006C0005"/>
    <w:rsid w:val="006C67E0"/>
    <w:rsid w:val="006C7ABA"/>
    <w:rsid w:val="006D0D60"/>
    <w:rsid w:val="006D1122"/>
    <w:rsid w:val="006D2641"/>
    <w:rsid w:val="006D3C00"/>
    <w:rsid w:val="006D3C05"/>
    <w:rsid w:val="006D66C1"/>
    <w:rsid w:val="006D696A"/>
    <w:rsid w:val="006D6CF4"/>
    <w:rsid w:val="006E30D3"/>
    <w:rsid w:val="006E3240"/>
    <w:rsid w:val="006E3675"/>
    <w:rsid w:val="006E4A7F"/>
    <w:rsid w:val="006E77E8"/>
    <w:rsid w:val="006F075B"/>
    <w:rsid w:val="006F1450"/>
    <w:rsid w:val="006F1A24"/>
    <w:rsid w:val="006F5AB9"/>
    <w:rsid w:val="006F72CB"/>
    <w:rsid w:val="00701150"/>
    <w:rsid w:val="00704DF6"/>
    <w:rsid w:val="0070651C"/>
    <w:rsid w:val="00710E73"/>
    <w:rsid w:val="007132A3"/>
    <w:rsid w:val="00713994"/>
    <w:rsid w:val="00716421"/>
    <w:rsid w:val="00717AAE"/>
    <w:rsid w:val="0072065A"/>
    <w:rsid w:val="007239AF"/>
    <w:rsid w:val="007241CF"/>
    <w:rsid w:val="00724910"/>
    <w:rsid w:val="00724EFB"/>
    <w:rsid w:val="00726FA3"/>
    <w:rsid w:val="00727727"/>
    <w:rsid w:val="00732B50"/>
    <w:rsid w:val="007339D1"/>
    <w:rsid w:val="00733BA9"/>
    <w:rsid w:val="00734E19"/>
    <w:rsid w:val="007409EF"/>
    <w:rsid w:val="00741485"/>
    <w:rsid w:val="007419C3"/>
    <w:rsid w:val="00744F22"/>
    <w:rsid w:val="007467A7"/>
    <w:rsid w:val="007469DD"/>
    <w:rsid w:val="0074741B"/>
    <w:rsid w:val="0074759E"/>
    <w:rsid w:val="007478EA"/>
    <w:rsid w:val="00747D97"/>
    <w:rsid w:val="007508CD"/>
    <w:rsid w:val="0075415C"/>
    <w:rsid w:val="00754F0B"/>
    <w:rsid w:val="00754FE4"/>
    <w:rsid w:val="0075503C"/>
    <w:rsid w:val="00760F1A"/>
    <w:rsid w:val="00763055"/>
    <w:rsid w:val="00763502"/>
    <w:rsid w:val="00763B40"/>
    <w:rsid w:val="00763FC5"/>
    <w:rsid w:val="0076458F"/>
    <w:rsid w:val="00764E96"/>
    <w:rsid w:val="00770AD2"/>
    <w:rsid w:val="007730FD"/>
    <w:rsid w:val="00777775"/>
    <w:rsid w:val="007824DE"/>
    <w:rsid w:val="0078451F"/>
    <w:rsid w:val="0078752F"/>
    <w:rsid w:val="007913AB"/>
    <w:rsid w:val="007914F7"/>
    <w:rsid w:val="00792BE5"/>
    <w:rsid w:val="007957CF"/>
    <w:rsid w:val="00797A97"/>
    <w:rsid w:val="007A4422"/>
    <w:rsid w:val="007A5361"/>
    <w:rsid w:val="007B155C"/>
    <w:rsid w:val="007B1625"/>
    <w:rsid w:val="007B706E"/>
    <w:rsid w:val="007B71EB"/>
    <w:rsid w:val="007B73BC"/>
    <w:rsid w:val="007B7848"/>
    <w:rsid w:val="007C0AC4"/>
    <w:rsid w:val="007C23BF"/>
    <w:rsid w:val="007C4958"/>
    <w:rsid w:val="007C6205"/>
    <w:rsid w:val="007C64F6"/>
    <w:rsid w:val="007C686A"/>
    <w:rsid w:val="007C728E"/>
    <w:rsid w:val="007C78A3"/>
    <w:rsid w:val="007D0C4B"/>
    <w:rsid w:val="007D2AB9"/>
    <w:rsid w:val="007D2C53"/>
    <w:rsid w:val="007D3D60"/>
    <w:rsid w:val="007E07CB"/>
    <w:rsid w:val="007E1980"/>
    <w:rsid w:val="007E2E2E"/>
    <w:rsid w:val="007E4B76"/>
    <w:rsid w:val="007E5EA8"/>
    <w:rsid w:val="007E7704"/>
    <w:rsid w:val="007E7A5E"/>
    <w:rsid w:val="007F0CF1"/>
    <w:rsid w:val="007F12A5"/>
    <w:rsid w:val="007F4CF1"/>
    <w:rsid w:val="007F56EA"/>
    <w:rsid w:val="007F758D"/>
    <w:rsid w:val="007F7D51"/>
    <w:rsid w:val="007F7D52"/>
    <w:rsid w:val="00800D59"/>
    <w:rsid w:val="008014EC"/>
    <w:rsid w:val="0080654C"/>
    <w:rsid w:val="008071C6"/>
    <w:rsid w:val="00807F5F"/>
    <w:rsid w:val="00810D76"/>
    <w:rsid w:val="00810DFF"/>
    <w:rsid w:val="0081400C"/>
    <w:rsid w:val="0081458D"/>
    <w:rsid w:val="008168B3"/>
    <w:rsid w:val="008174F3"/>
    <w:rsid w:val="00817A00"/>
    <w:rsid w:val="00824502"/>
    <w:rsid w:val="00825E01"/>
    <w:rsid w:val="008305EE"/>
    <w:rsid w:val="00831AE3"/>
    <w:rsid w:val="00834AC3"/>
    <w:rsid w:val="00834BA1"/>
    <w:rsid w:val="00835DB3"/>
    <w:rsid w:val="0083617B"/>
    <w:rsid w:val="008371BD"/>
    <w:rsid w:val="00841DE1"/>
    <w:rsid w:val="00843A0B"/>
    <w:rsid w:val="00846B8C"/>
    <w:rsid w:val="008504A8"/>
    <w:rsid w:val="00850BD1"/>
    <w:rsid w:val="0085282E"/>
    <w:rsid w:val="00853AE0"/>
    <w:rsid w:val="00853D3E"/>
    <w:rsid w:val="0085497E"/>
    <w:rsid w:val="00862238"/>
    <w:rsid w:val="0086464E"/>
    <w:rsid w:val="0087198C"/>
    <w:rsid w:val="00872BC7"/>
    <w:rsid w:val="00872C1F"/>
    <w:rsid w:val="00873B42"/>
    <w:rsid w:val="0087499F"/>
    <w:rsid w:val="00876D68"/>
    <w:rsid w:val="00877168"/>
    <w:rsid w:val="00877EDC"/>
    <w:rsid w:val="008805C7"/>
    <w:rsid w:val="00882731"/>
    <w:rsid w:val="00883535"/>
    <w:rsid w:val="0088445E"/>
    <w:rsid w:val="0088523F"/>
    <w:rsid w:val="008856D8"/>
    <w:rsid w:val="008876E8"/>
    <w:rsid w:val="00892E82"/>
    <w:rsid w:val="00893783"/>
    <w:rsid w:val="00895404"/>
    <w:rsid w:val="008A136F"/>
    <w:rsid w:val="008A27FF"/>
    <w:rsid w:val="008B1A8B"/>
    <w:rsid w:val="008B3C3C"/>
    <w:rsid w:val="008B5F59"/>
    <w:rsid w:val="008B606B"/>
    <w:rsid w:val="008B79E1"/>
    <w:rsid w:val="008B7C9D"/>
    <w:rsid w:val="008C1B58"/>
    <w:rsid w:val="008C32ED"/>
    <w:rsid w:val="008C39AE"/>
    <w:rsid w:val="008C590D"/>
    <w:rsid w:val="008C60FB"/>
    <w:rsid w:val="008C70FA"/>
    <w:rsid w:val="008D1FDA"/>
    <w:rsid w:val="008D3206"/>
    <w:rsid w:val="008D7A37"/>
    <w:rsid w:val="008E031B"/>
    <w:rsid w:val="008E155B"/>
    <w:rsid w:val="008E2D23"/>
    <w:rsid w:val="008E2F09"/>
    <w:rsid w:val="008E4C43"/>
    <w:rsid w:val="008E5FFA"/>
    <w:rsid w:val="008E7029"/>
    <w:rsid w:val="008E7C9B"/>
    <w:rsid w:val="008E7EF6"/>
    <w:rsid w:val="008F1F98"/>
    <w:rsid w:val="008F4912"/>
    <w:rsid w:val="008F4A83"/>
    <w:rsid w:val="008F57D6"/>
    <w:rsid w:val="008F6701"/>
    <w:rsid w:val="008F6758"/>
    <w:rsid w:val="008F777B"/>
    <w:rsid w:val="008F7836"/>
    <w:rsid w:val="009040DD"/>
    <w:rsid w:val="00905B47"/>
    <w:rsid w:val="0090600C"/>
    <w:rsid w:val="00910472"/>
    <w:rsid w:val="0091124D"/>
    <w:rsid w:val="00912EAB"/>
    <w:rsid w:val="0091331C"/>
    <w:rsid w:val="00914E7A"/>
    <w:rsid w:val="00916A7C"/>
    <w:rsid w:val="009239AE"/>
    <w:rsid w:val="009279DE"/>
    <w:rsid w:val="00930116"/>
    <w:rsid w:val="00930F67"/>
    <w:rsid w:val="00933A84"/>
    <w:rsid w:val="009374A4"/>
    <w:rsid w:val="00940E94"/>
    <w:rsid w:val="0094212C"/>
    <w:rsid w:val="0094299F"/>
    <w:rsid w:val="009456FC"/>
    <w:rsid w:val="0095428E"/>
    <w:rsid w:val="00954689"/>
    <w:rsid w:val="00957727"/>
    <w:rsid w:val="00957BA0"/>
    <w:rsid w:val="00957BE2"/>
    <w:rsid w:val="00957D66"/>
    <w:rsid w:val="00960C96"/>
    <w:rsid w:val="009617C9"/>
    <w:rsid w:val="00961C93"/>
    <w:rsid w:val="009629A7"/>
    <w:rsid w:val="00964183"/>
    <w:rsid w:val="00964F28"/>
    <w:rsid w:val="00965324"/>
    <w:rsid w:val="0096566A"/>
    <w:rsid w:val="009656FB"/>
    <w:rsid w:val="0096765D"/>
    <w:rsid w:val="00970207"/>
    <w:rsid w:val="0097091E"/>
    <w:rsid w:val="00971DDA"/>
    <w:rsid w:val="009760D3"/>
    <w:rsid w:val="00977126"/>
    <w:rsid w:val="00977132"/>
    <w:rsid w:val="00980A0D"/>
    <w:rsid w:val="00981A4B"/>
    <w:rsid w:val="00982501"/>
    <w:rsid w:val="00982AE1"/>
    <w:rsid w:val="00983594"/>
    <w:rsid w:val="009838D2"/>
    <w:rsid w:val="00984A64"/>
    <w:rsid w:val="00985850"/>
    <w:rsid w:val="009877D3"/>
    <w:rsid w:val="0099159A"/>
    <w:rsid w:val="00994383"/>
    <w:rsid w:val="00994E8F"/>
    <w:rsid w:val="009951DC"/>
    <w:rsid w:val="009959BB"/>
    <w:rsid w:val="00995C60"/>
    <w:rsid w:val="009966F9"/>
    <w:rsid w:val="00997158"/>
    <w:rsid w:val="009A3A7C"/>
    <w:rsid w:val="009A5F6A"/>
    <w:rsid w:val="009A7F9C"/>
    <w:rsid w:val="009B2ADB"/>
    <w:rsid w:val="009B42DA"/>
    <w:rsid w:val="009B54EE"/>
    <w:rsid w:val="009B603A"/>
    <w:rsid w:val="009B6B73"/>
    <w:rsid w:val="009C0826"/>
    <w:rsid w:val="009C2D0E"/>
    <w:rsid w:val="009C3DAC"/>
    <w:rsid w:val="009C3DE3"/>
    <w:rsid w:val="009C42E0"/>
    <w:rsid w:val="009C6620"/>
    <w:rsid w:val="009C69D4"/>
    <w:rsid w:val="009C7985"/>
    <w:rsid w:val="009D03F1"/>
    <w:rsid w:val="009D057F"/>
    <w:rsid w:val="009D1667"/>
    <w:rsid w:val="009D167F"/>
    <w:rsid w:val="009D1697"/>
    <w:rsid w:val="009D3B9B"/>
    <w:rsid w:val="009D5362"/>
    <w:rsid w:val="009D6238"/>
    <w:rsid w:val="009D6883"/>
    <w:rsid w:val="009E017F"/>
    <w:rsid w:val="009E13B4"/>
    <w:rsid w:val="009E1415"/>
    <w:rsid w:val="009E3C41"/>
    <w:rsid w:val="009E3DA3"/>
    <w:rsid w:val="009E4753"/>
    <w:rsid w:val="009E6116"/>
    <w:rsid w:val="009E74CB"/>
    <w:rsid w:val="009E76E7"/>
    <w:rsid w:val="009F0F85"/>
    <w:rsid w:val="009F26CF"/>
    <w:rsid w:val="009F4DC5"/>
    <w:rsid w:val="009F67E9"/>
    <w:rsid w:val="00A0254E"/>
    <w:rsid w:val="00A02E43"/>
    <w:rsid w:val="00A03904"/>
    <w:rsid w:val="00A06020"/>
    <w:rsid w:val="00A065F9"/>
    <w:rsid w:val="00A07E96"/>
    <w:rsid w:val="00A07F34"/>
    <w:rsid w:val="00A13544"/>
    <w:rsid w:val="00A15864"/>
    <w:rsid w:val="00A15E3B"/>
    <w:rsid w:val="00A22154"/>
    <w:rsid w:val="00A23A52"/>
    <w:rsid w:val="00A25C38"/>
    <w:rsid w:val="00A304DA"/>
    <w:rsid w:val="00A30C4B"/>
    <w:rsid w:val="00A32A46"/>
    <w:rsid w:val="00A34ACC"/>
    <w:rsid w:val="00A351EB"/>
    <w:rsid w:val="00A36BBE"/>
    <w:rsid w:val="00A4307A"/>
    <w:rsid w:val="00A439DE"/>
    <w:rsid w:val="00A457D6"/>
    <w:rsid w:val="00A45F5B"/>
    <w:rsid w:val="00A47EBB"/>
    <w:rsid w:val="00A508BC"/>
    <w:rsid w:val="00A509B9"/>
    <w:rsid w:val="00A51CDD"/>
    <w:rsid w:val="00A61A85"/>
    <w:rsid w:val="00A62671"/>
    <w:rsid w:val="00A64565"/>
    <w:rsid w:val="00A64C92"/>
    <w:rsid w:val="00A66060"/>
    <w:rsid w:val="00A6697C"/>
    <w:rsid w:val="00A6730D"/>
    <w:rsid w:val="00A6774C"/>
    <w:rsid w:val="00A70795"/>
    <w:rsid w:val="00A70E9B"/>
    <w:rsid w:val="00A71625"/>
    <w:rsid w:val="00A71B9B"/>
    <w:rsid w:val="00A74B3B"/>
    <w:rsid w:val="00A751B0"/>
    <w:rsid w:val="00A751C7"/>
    <w:rsid w:val="00A758E9"/>
    <w:rsid w:val="00A840FA"/>
    <w:rsid w:val="00A84E56"/>
    <w:rsid w:val="00A86410"/>
    <w:rsid w:val="00A87318"/>
    <w:rsid w:val="00A87844"/>
    <w:rsid w:val="00A97660"/>
    <w:rsid w:val="00A97E1D"/>
    <w:rsid w:val="00AA01F4"/>
    <w:rsid w:val="00AA038C"/>
    <w:rsid w:val="00AA3659"/>
    <w:rsid w:val="00AA472D"/>
    <w:rsid w:val="00AA5A7F"/>
    <w:rsid w:val="00AA7418"/>
    <w:rsid w:val="00AA7A09"/>
    <w:rsid w:val="00AB1B9C"/>
    <w:rsid w:val="00AB21B3"/>
    <w:rsid w:val="00AB3600"/>
    <w:rsid w:val="00AB39A7"/>
    <w:rsid w:val="00AB3B50"/>
    <w:rsid w:val="00AB3C14"/>
    <w:rsid w:val="00AB531D"/>
    <w:rsid w:val="00AC05B1"/>
    <w:rsid w:val="00AC0E36"/>
    <w:rsid w:val="00AC3B21"/>
    <w:rsid w:val="00AC64CB"/>
    <w:rsid w:val="00AC7032"/>
    <w:rsid w:val="00AC783E"/>
    <w:rsid w:val="00AC7F8E"/>
    <w:rsid w:val="00AD0E4D"/>
    <w:rsid w:val="00AD0FBB"/>
    <w:rsid w:val="00AD28E6"/>
    <w:rsid w:val="00AD356C"/>
    <w:rsid w:val="00AD3D14"/>
    <w:rsid w:val="00AD4906"/>
    <w:rsid w:val="00AE2914"/>
    <w:rsid w:val="00AE3CE4"/>
    <w:rsid w:val="00AE6C08"/>
    <w:rsid w:val="00AE6D15"/>
    <w:rsid w:val="00AE78A8"/>
    <w:rsid w:val="00AF24E0"/>
    <w:rsid w:val="00AF4152"/>
    <w:rsid w:val="00B04182"/>
    <w:rsid w:val="00B04850"/>
    <w:rsid w:val="00B04CB6"/>
    <w:rsid w:val="00B04EDE"/>
    <w:rsid w:val="00B05EC2"/>
    <w:rsid w:val="00B06CC6"/>
    <w:rsid w:val="00B0779E"/>
    <w:rsid w:val="00B07AE3"/>
    <w:rsid w:val="00B11430"/>
    <w:rsid w:val="00B12323"/>
    <w:rsid w:val="00B3135B"/>
    <w:rsid w:val="00B34BF5"/>
    <w:rsid w:val="00B353EB"/>
    <w:rsid w:val="00B37304"/>
    <w:rsid w:val="00B40D84"/>
    <w:rsid w:val="00B42C68"/>
    <w:rsid w:val="00B43828"/>
    <w:rsid w:val="00B439C4"/>
    <w:rsid w:val="00B4535E"/>
    <w:rsid w:val="00B46708"/>
    <w:rsid w:val="00B47917"/>
    <w:rsid w:val="00B50B72"/>
    <w:rsid w:val="00B52A8C"/>
    <w:rsid w:val="00B52DFD"/>
    <w:rsid w:val="00B5687E"/>
    <w:rsid w:val="00B619FA"/>
    <w:rsid w:val="00B61E25"/>
    <w:rsid w:val="00B636A8"/>
    <w:rsid w:val="00B64292"/>
    <w:rsid w:val="00B64CD6"/>
    <w:rsid w:val="00B65AA4"/>
    <w:rsid w:val="00B661AB"/>
    <w:rsid w:val="00B665C6"/>
    <w:rsid w:val="00B668D1"/>
    <w:rsid w:val="00B66DE0"/>
    <w:rsid w:val="00B67B45"/>
    <w:rsid w:val="00B67F39"/>
    <w:rsid w:val="00B72C1D"/>
    <w:rsid w:val="00B72C7C"/>
    <w:rsid w:val="00B735EC"/>
    <w:rsid w:val="00B805AF"/>
    <w:rsid w:val="00B82464"/>
    <w:rsid w:val="00B834E9"/>
    <w:rsid w:val="00B85B2A"/>
    <w:rsid w:val="00B863E3"/>
    <w:rsid w:val="00B869EC"/>
    <w:rsid w:val="00B878E8"/>
    <w:rsid w:val="00B902C5"/>
    <w:rsid w:val="00B92EDC"/>
    <w:rsid w:val="00B9397A"/>
    <w:rsid w:val="00B94470"/>
    <w:rsid w:val="00B9491B"/>
    <w:rsid w:val="00B96282"/>
    <w:rsid w:val="00B9633D"/>
    <w:rsid w:val="00B97CEA"/>
    <w:rsid w:val="00B97ED7"/>
    <w:rsid w:val="00BA0B75"/>
    <w:rsid w:val="00BA20F0"/>
    <w:rsid w:val="00BA2EBE"/>
    <w:rsid w:val="00BA54DD"/>
    <w:rsid w:val="00BA6438"/>
    <w:rsid w:val="00BA6714"/>
    <w:rsid w:val="00BA7120"/>
    <w:rsid w:val="00BB0F28"/>
    <w:rsid w:val="00BB15BF"/>
    <w:rsid w:val="00BB225A"/>
    <w:rsid w:val="00BB40C9"/>
    <w:rsid w:val="00BB458A"/>
    <w:rsid w:val="00BB526B"/>
    <w:rsid w:val="00BB5E13"/>
    <w:rsid w:val="00BC0346"/>
    <w:rsid w:val="00BC40CF"/>
    <w:rsid w:val="00BC41B7"/>
    <w:rsid w:val="00BC4B13"/>
    <w:rsid w:val="00BC6AB8"/>
    <w:rsid w:val="00BC792E"/>
    <w:rsid w:val="00BD00D3"/>
    <w:rsid w:val="00BD1659"/>
    <w:rsid w:val="00BD2599"/>
    <w:rsid w:val="00BD3AA9"/>
    <w:rsid w:val="00BD4A18"/>
    <w:rsid w:val="00BD640C"/>
    <w:rsid w:val="00BD642F"/>
    <w:rsid w:val="00BD6DB2"/>
    <w:rsid w:val="00BE11CF"/>
    <w:rsid w:val="00BE21AB"/>
    <w:rsid w:val="00BE55CB"/>
    <w:rsid w:val="00BE56B3"/>
    <w:rsid w:val="00BE63D0"/>
    <w:rsid w:val="00BE79C1"/>
    <w:rsid w:val="00BF3EC1"/>
    <w:rsid w:val="00BF4F0B"/>
    <w:rsid w:val="00BF617A"/>
    <w:rsid w:val="00BF6FCE"/>
    <w:rsid w:val="00C0379D"/>
    <w:rsid w:val="00C03931"/>
    <w:rsid w:val="00C03F61"/>
    <w:rsid w:val="00C03FFD"/>
    <w:rsid w:val="00C05FE3"/>
    <w:rsid w:val="00C0681E"/>
    <w:rsid w:val="00C10C05"/>
    <w:rsid w:val="00C118CA"/>
    <w:rsid w:val="00C13387"/>
    <w:rsid w:val="00C15246"/>
    <w:rsid w:val="00C15C9B"/>
    <w:rsid w:val="00C16563"/>
    <w:rsid w:val="00C16737"/>
    <w:rsid w:val="00C1739E"/>
    <w:rsid w:val="00C17A99"/>
    <w:rsid w:val="00C17AB4"/>
    <w:rsid w:val="00C2136D"/>
    <w:rsid w:val="00C214EE"/>
    <w:rsid w:val="00C2314B"/>
    <w:rsid w:val="00C24971"/>
    <w:rsid w:val="00C252F0"/>
    <w:rsid w:val="00C25612"/>
    <w:rsid w:val="00C26BE5"/>
    <w:rsid w:val="00C26E4D"/>
    <w:rsid w:val="00C278B6"/>
    <w:rsid w:val="00C27909"/>
    <w:rsid w:val="00C279DC"/>
    <w:rsid w:val="00C27B03"/>
    <w:rsid w:val="00C314E1"/>
    <w:rsid w:val="00C33428"/>
    <w:rsid w:val="00C339B8"/>
    <w:rsid w:val="00C34397"/>
    <w:rsid w:val="00C372A8"/>
    <w:rsid w:val="00C3788B"/>
    <w:rsid w:val="00C408EB"/>
    <w:rsid w:val="00C4095D"/>
    <w:rsid w:val="00C40B16"/>
    <w:rsid w:val="00C43C48"/>
    <w:rsid w:val="00C43CE2"/>
    <w:rsid w:val="00C507CC"/>
    <w:rsid w:val="00C53816"/>
    <w:rsid w:val="00C601D2"/>
    <w:rsid w:val="00C60B74"/>
    <w:rsid w:val="00C63D6B"/>
    <w:rsid w:val="00C64EDE"/>
    <w:rsid w:val="00C65BCC"/>
    <w:rsid w:val="00C66970"/>
    <w:rsid w:val="00C71E3E"/>
    <w:rsid w:val="00C73283"/>
    <w:rsid w:val="00C733ED"/>
    <w:rsid w:val="00C73B72"/>
    <w:rsid w:val="00C7727E"/>
    <w:rsid w:val="00C779CB"/>
    <w:rsid w:val="00C83181"/>
    <w:rsid w:val="00C83589"/>
    <w:rsid w:val="00C863AE"/>
    <w:rsid w:val="00C8691C"/>
    <w:rsid w:val="00C90526"/>
    <w:rsid w:val="00C90932"/>
    <w:rsid w:val="00C90ACC"/>
    <w:rsid w:val="00C90EBE"/>
    <w:rsid w:val="00C91945"/>
    <w:rsid w:val="00C9286E"/>
    <w:rsid w:val="00C936CD"/>
    <w:rsid w:val="00C9595B"/>
    <w:rsid w:val="00C96A0B"/>
    <w:rsid w:val="00CA1182"/>
    <w:rsid w:val="00CA168A"/>
    <w:rsid w:val="00CA357E"/>
    <w:rsid w:val="00CA42DE"/>
    <w:rsid w:val="00CA44F9"/>
    <w:rsid w:val="00CA4A69"/>
    <w:rsid w:val="00CA4ECB"/>
    <w:rsid w:val="00CA6614"/>
    <w:rsid w:val="00CA6781"/>
    <w:rsid w:val="00CB066F"/>
    <w:rsid w:val="00CB3E4A"/>
    <w:rsid w:val="00CB47F5"/>
    <w:rsid w:val="00CB54A3"/>
    <w:rsid w:val="00CB6892"/>
    <w:rsid w:val="00CB7628"/>
    <w:rsid w:val="00CB7D1C"/>
    <w:rsid w:val="00CC23A9"/>
    <w:rsid w:val="00CC3E0C"/>
    <w:rsid w:val="00CC4C81"/>
    <w:rsid w:val="00CC58D3"/>
    <w:rsid w:val="00CC784D"/>
    <w:rsid w:val="00CD485A"/>
    <w:rsid w:val="00CD4EF4"/>
    <w:rsid w:val="00CD5343"/>
    <w:rsid w:val="00CD5556"/>
    <w:rsid w:val="00CD7A34"/>
    <w:rsid w:val="00CE2F4B"/>
    <w:rsid w:val="00CE3B05"/>
    <w:rsid w:val="00CF14B1"/>
    <w:rsid w:val="00CF199B"/>
    <w:rsid w:val="00CF1AE6"/>
    <w:rsid w:val="00D01B22"/>
    <w:rsid w:val="00D0212F"/>
    <w:rsid w:val="00D02313"/>
    <w:rsid w:val="00D0337B"/>
    <w:rsid w:val="00D079B2"/>
    <w:rsid w:val="00D114E9"/>
    <w:rsid w:val="00D15355"/>
    <w:rsid w:val="00D24930"/>
    <w:rsid w:val="00D25438"/>
    <w:rsid w:val="00D25457"/>
    <w:rsid w:val="00D2696C"/>
    <w:rsid w:val="00D32A55"/>
    <w:rsid w:val="00D36C32"/>
    <w:rsid w:val="00D37115"/>
    <w:rsid w:val="00D41112"/>
    <w:rsid w:val="00D41239"/>
    <w:rsid w:val="00D422FB"/>
    <w:rsid w:val="00D429C6"/>
    <w:rsid w:val="00D446CE"/>
    <w:rsid w:val="00D46225"/>
    <w:rsid w:val="00D4652F"/>
    <w:rsid w:val="00D47748"/>
    <w:rsid w:val="00D509F8"/>
    <w:rsid w:val="00D519A7"/>
    <w:rsid w:val="00D54CC3"/>
    <w:rsid w:val="00D551E8"/>
    <w:rsid w:val="00D55C44"/>
    <w:rsid w:val="00D56077"/>
    <w:rsid w:val="00D6041A"/>
    <w:rsid w:val="00D60CF2"/>
    <w:rsid w:val="00D6196D"/>
    <w:rsid w:val="00D633EB"/>
    <w:rsid w:val="00D640AC"/>
    <w:rsid w:val="00D7523C"/>
    <w:rsid w:val="00D75D0B"/>
    <w:rsid w:val="00D75F33"/>
    <w:rsid w:val="00D774AF"/>
    <w:rsid w:val="00D821B0"/>
    <w:rsid w:val="00D82FF7"/>
    <w:rsid w:val="00D847FE"/>
    <w:rsid w:val="00D84CDC"/>
    <w:rsid w:val="00D90788"/>
    <w:rsid w:val="00D91738"/>
    <w:rsid w:val="00D91E50"/>
    <w:rsid w:val="00D941B1"/>
    <w:rsid w:val="00D94D2B"/>
    <w:rsid w:val="00D964EA"/>
    <w:rsid w:val="00D966D0"/>
    <w:rsid w:val="00DA0C59"/>
    <w:rsid w:val="00DA32C4"/>
    <w:rsid w:val="00DA395D"/>
    <w:rsid w:val="00DA3991"/>
    <w:rsid w:val="00DA5205"/>
    <w:rsid w:val="00DB0990"/>
    <w:rsid w:val="00DB18B0"/>
    <w:rsid w:val="00DB21E0"/>
    <w:rsid w:val="00DB390E"/>
    <w:rsid w:val="00DB7E6C"/>
    <w:rsid w:val="00DC082B"/>
    <w:rsid w:val="00DC0BB7"/>
    <w:rsid w:val="00DC5564"/>
    <w:rsid w:val="00DC5858"/>
    <w:rsid w:val="00DD04DC"/>
    <w:rsid w:val="00DD158B"/>
    <w:rsid w:val="00DD5A29"/>
    <w:rsid w:val="00DD5B2E"/>
    <w:rsid w:val="00DD5D9D"/>
    <w:rsid w:val="00DD6CD9"/>
    <w:rsid w:val="00DE1AC0"/>
    <w:rsid w:val="00DE2050"/>
    <w:rsid w:val="00DE227D"/>
    <w:rsid w:val="00DE2E9D"/>
    <w:rsid w:val="00DE35CB"/>
    <w:rsid w:val="00DE5673"/>
    <w:rsid w:val="00DE577E"/>
    <w:rsid w:val="00DF21E9"/>
    <w:rsid w:val="00E0080C"/>
    <w:rsid w:val="00E00AA8"/>
    <w:rsid w:val="00E00F14"/>
    <w:rsid w:val="00E0109B"/>
    <w:rsid w:val="00E01795"/>
    <w:rsid w:val="00E02359"/>
    <w:rsid w:val="00E0265C"/>
    <w:rsid w:val="00E02F33"/>
    <w:rsid w:val="00E06386"/>
    <w:rsid w:val="00E06F20"/>
    <w:rsid w:val="00E07986"/>
    <w:rsid w:val="00E139F8"/>
    <w:rsid w:val="00E139FB"/>
    <w:rsid w:val="00E148CF"/>
    <w:rsid w:val="00E161FC"/>
    <w:rsid w:val="00E210DE"/>
    <w:rsid w:val="00E222D5"/>
    <w:rsid w:val="00E24EB4"/>
    <w:rsid w:val="00E27AD4"/>
    <w:rsid w:val="00E300B7"/>
    <w:rsid w:val="00E320ED"/>
    <w:rsid w:val="00E325F7"/>
    <w:rsid w:val="00E33AFB"/>
    <w:rsid w:val="00E34218"/>
    <w:rsid w:val="00E36303"/>
    <w:rsid w:val="00E37D9C"/>
    <w:rsid w:val="00E41769"/>
    <w:rsid w:val="00E41A1B"/>
    <w:rsid w:val="00E42B43"/>
    <w:rsid w:val="00E444D3"/>
    <w:rsid w:val="00E44ACE"/>
    <w:rsid w:val="00E46282"/>
    <w:rsid w:val="00E467BA"/>
    <w:rsid w:val="00E4718A"/>
    <w:rsid w:val="00E472A9"/>
    <w:rsid w:val="00E51E84"/>
    <w:rsid w:val="00E5216E"/>
    <w:rsid w:val="00E55ED0"/>
    <w:rsid w:val="00E56C48"/>
    <w:rsid w:val="00E609B1"/>
    <w:rsid w:val="00E619C9"/>
    <w:rsid w:val="00E6222C"/>
    <w:rsid w:val="00E62FEB"/>
    <w:rsid w:val="00E654A7"/>
    <w:rsid w:val="00E667D3"/>
    <w:rsid w:val="00E672C1"/>
    <w:rsid w:val="00E72045"/>
    <w:rsid w:val="00E72BB4"/>
    <w:rsid w:val="00E74AAD"/>
    <w:rsid w:val="00E77E66"/>
    <w:rsid w:val="00E812F6"/>
    <w:rsid w:val="00E81AAB"/>
    <w:rsid w:val="00E82344"/>
    <w:rsid w:val="00E84C82"/>
    <w:rsid w:val="00E84D64"/>
    <w:rsid w:val="00E87408"/>
    <w:rsid w:val="00E90258"/>
    <w:rsid w:val="00E914C4"/>
    <w:rsid w:val="00E934F5"/>
    <w:rsid w:val="00E95033"/>
    <w:rsid w:val="00E95A9A"/>
    <w:rsid w:val="00E96961"/>
    <w:rsid w:val="00E97499"/>
    <w:rsid w:val="00EA072B"/>
    <w:rsid w:val="00EA36A4"/>
    <w:rsid w:val="00EA72EC"/>
    <w:rsid w:val="00EB0C03"/>
    <w:rsid w:val="00EB0D0B"/>
    <w:rsid w:val="00EB11CB"/>
    <w:rsid w:val="00EB275A"/>
    <w:rsid w:val="00EB5355"/>
    <w:rsid w:val="00EB786A"/>
    <w:rsid w:val="00EC0D1C"/>
    <w:rsid w:val="00EC1578"/>
    <w:rsid w:val="00EC1C72"/>
    <w:rsid w:val="00EC3CC9"/>
    <w:rsid w:val="00EC680A"/>
    <w:rsid w:val="00EC765B"/>
    <w:rsid w:val="00ED3913"/>
    <w:rsid w:val="00ED5817"/>
    <w:rsid w:val="00ED7904"/>
    <w:rsid w:val="00EE0647"/>
    <w:rsid w:val="00EE0B18"/>
    <w:rsid w:val="00EE1B8B"/>
    <w:rsid w:val="00EE1F1C"/>
    <w:rsid w:val="00EE2581"/>
    <w:rsid w:val="00EE2BED"/>
    <w:rsid w:val="00EE2C0A"/>
    <w:rsid w:val="00EE374B"/>
    <w:rsid w:val="00EE530C"/>
    <w:rsid w:val="00EE6F1F"/>
    <w:rsid w:val="00EF192A"/>
    <w:rsid w:val="00EF1FE6"/>
    <w:rsid w:val="00EF247A"/>
    <w:rsid w:val="00EF2ACD"/>
    <w:rsid w:val="00EF31EB"/>
    <w:rsid w:val="00EF606F"/>
    <w:rsid w:val="00F01016"/>
    <w:rsid w:val="00F0155E"/>
    <w:rsid w:val="00F0288B"/>
    <w:rsid w:val="00F04E13"/>
    <w:rsid w:val="00F06FB7"/>
    <w:rsid w:val="00F06FDC"/>
    <w:rsid w:val="00F07B74"/>
    <w:rsid w:val="00F10D48"/>
    <w:rsid w:val="00F11BB5"/>
    <w:rsid w:val="00F132D8"/>
    <w:rsid w:val="00F1417B"/>
    <w:rsid w:val="00F15945"/>
    <w:rsid w:val="00F235D3"/>
    <w:rsid w:val="00F23BBC"/>
    <w:rsid w:val="00F32333"/>
    <w:rsid w:val="00F32468"/>
    <w:rsid w:val="00F33C6E"/>
    <w:rsid w:val="00F34B99"/>
    <w:rsid w:val="00F34ED9"/>
    <w:rsid w:val="00F40157"/>
    <w:rsid w:val="00F41109"/>
    <w:rsid w:val="00F4430C"/>
    <w:rsid w:val="00F46373"/>
    <w:rsid w:val="00F4646D"/>
    <w:rsid w:val="00F46A21"/>
    <w:rsid w:val="00F46E67"/>
    <w:rsid w:val="00F475F3"/>
    <w:rsid w:val="00F478DE"/>
    <w:rsid w:val="00F5244E"/>
    <w:rsid w:val="00F52DAB"/>
    <w:rsid w:val="00F54209"/>
    <w:rsid w:val="00F543F0"/>
    <w:rsid w:val="00F54BD1"/>
    <w:rsid w:val="00F55618"/>
    <w:rsid w:val="00F55AFE"/>
    <w:rsid w:val="00F57B6B"/>
    <w:rsid w:val="00F63B5D"/>
    <w:rsid w:val="00F64671"/>
    <w:rsid w:val="00F6759D"/>
    <w:rsid w:val="00F67642"/>
    <w:rsid w:val="00F7129A"/>
    <w:rsid w:val="00F73289"/>
    <w:rsid w:val="00F7441C"/>
    <w:rsid w:val="00F81D29"/>
    <w:rsid w:val="00F81F01"/>
    <w:rsid w:val="00F82632"/>
    <w:rsid w:val="00F85FEE"/>
    <w:rsid w:val="00F91C4D"/>
    <w:rsid w:val="00F92FD9"/>
    <w:rsid w:val="00F94A45"/>
    <w:rsid w:val="00F9686E"/>
    <w:rsid w:val="00FA4CDC"/>
    <w:rsid w:val="00FA6684"/>
    <w:rsid w:val="00FA731E"/>
    <w:rsid w:val="00FB2B38"/>
    <w:rsid w:val="00FB2B43"/>
    <w:rsid w:val="00FB7899"/>
    <w:rsid w:val="00FC2674"/>
    <w:rsid w:val="00FC2E5F"/>
    <w:rsid w:val="00FC3294"/>
    <w:rsid w:val="00FC41D0"/>
    <w:rsid w:val="00FC6358"/>
    <w:rsid w:val="00FC7704"/>
    <w:rsid w:val="00FD01CF"/>
    <w:rsid w:val="00FD320D"/>
    <w:rsid w:val="00FD3554"/>
    <w:rsid w:val="00FD42CF"/>
    <w:rsid w:val="00FD722F"/>
    <w:rsid w:val="00FE1166"/>
    <w:rsid w:val="00FE23DE"/>
    <w:rsid w:val="00FE5BDA"/>
    <w:rsid w:val="00FE66DF"/>
    <w:rsid w:val="00FF084E"/>
    <w:rsid w:val="00FF17F0"/>
    <w:rsid w:val="00FF1A20"/>
    <w:rsid w:val="00FF61C0"/>
    <w:rsid w:val="08E573A1"/>
    <w:rsid w:val="18C95D11"/>
    <w:rsid w:val="1C2B5154"/>
    <w:rsid w:val="32DD2DDA"/>
    <w:rsid w:val="387C2637"/>
    <w:rsid w:val="3F3E0B08"/>
    <w:rsid w:val="43B22631"/>
    <w:rsid w:val="45A8515A"/>
    <w:rsid w:val="4A180462"/>
    <w:rsid w:val="4A1E1538"/>
    <w:rsid w:val="4BB7135D"/>
    <w:rsid w:val="57CE68AD"/>
    <w:rsid w:val="596B7EEB"/>
    <w:rsid w:val="5AD43284"/>
    <w:rsid w:val="6171487E"/>
    <w:rsid w:val="61A2633E"/>
    <w:rsid w:val="69535286"/>
    <w:rsid w:val="77B30922"/>
    <w:rsid w:val="7864052B"/>
    <w:rsid w:val="78EC5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99" w:name="endnote reference"/>
    <w:lsdException w:qFormat="1" w:unhideWhenUsed="0" w:uiPriority="99"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64"/>
    <w:qFormat/>
    <w:uiPriority w:val="9"/>
    <w:pPr>
      <w:keepNext/>
      <w:keepLines/>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71"/>
    <w:qFormat/>
    <w:uiPriority w:val="9"/>
    <w:pPr>
      <w:keepNext/>
      <w:keepLines/>
      <w:spacing w:before="260" w:after="260" w:line="416" w:lineRule="auto"/>
      <w:outlineLvl w:val="2"/>
    </w:pPr>
    <w:rPr>
      <w:b/>
      <w:bCs/>
      <w:sz w:val="32"/>
      <w:szCs w:val="32"/>
      <w:lang w:val="zh-CN" w:eastAsia="zh-CN"/>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sz w:val="20"/>
      <w:szCs w:val="20"/>
    </w:rPr>
  </w:style>
  <w:style w:type="paragraph" w:styleId="9">
    <w:name w:val="Document Map"/>
    <w:basedOn w:val="1"/>
    <w:link w:val="53"/>
    <w:semiHidden/>
    <w:qFormat/>
    <w:uiPriority w:val="0"/>
    <w:pPr>
      <w:shd w:val="clear" w:color="auto" w:fill="000080"/>
    </w:pPr>
    <w:rPr>
      <w:lang w:val="zh-CN" w:eastAsia="zh-CN"/>
    </w:rPr>
  </w:style>
  <w:style w:type="paragraph" w:styleId="10">
    <w:name w:val="annotation text"/>
    <w:basedOn w:val="1"/>
    <w:link w:val="80"/>
    <w:qFormat/>
    <w:uiPriority w:val="99"/>
    <w:pPr>
      <w:jc w:val="left"/>
    </w:pPr>
    <w:rPr>
      <w:lang w:val="zh-CN" w:eastAsia="zh-CN"/>
    </w:rPr>
  </w:style>
  <w:style w:type="paragraph" w:styleId="11">
    <w:name w:val="index 6"/>
    <w:basedOn w:val="1"/>
    <w:next w:val="1"/>
    <w:qFormat/>
    <w:uiPriority w:val="0"/>
    <w:pPr>
      <w:ind w:left="1260" w:hanging="210"/>
      <w:jc w:val="left"/>
    </w:pPr>
    <w:rPr>
      <w:sz w:val="20"/>
      <w:szCs w:val="20"/>
    </w:rPr>
  </w:style>
  <w:style w:type="paragraph" w:styleId="12">
    <w:name w:val="Body Text"/>
    <w:basedOn w:val="1"/>
    <w:link w:val="56"/>
    <w:qFormat/>
    <w:uiPriority w:val="0"/>
    <w:pPr>
      <w:spacing w:after="120"/>
    </w:pPr>
    <w:rPr>
      <w:lang w:val="zh-CN" w:eastAsia="zh-CN"/>
    </w:rPr>
  </w:style>
  <w:style w:type="paragraph" w:styleId="13">
    <w:name w:val="index 4"/>
    <w:basedOn w:val="1"/>
    <w:next w:val="1"/>
    <w:qFormat/>
    <w:uiPriority w:val="0"/>
    <w:pPr>
      <w:ind w:left="840" w:hanging="210"/>
      <w:jc w:val="left"/>
    </w:pPr>
    <w:rPr>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Plain Text"/>
    <w:basedOn w:val="1"/>
    <w:link w:val="61"/>
    <w:qFormat/>
    <w:uiPriority w:val="0"/>
    <w:rPr>
      <w:rFonts w:ascii="宋体" w:hAnsi="Courier New"/>
      <w:szCs w:val="21"/>
      <w:lang w:val="zh-CN" w:eastAsia="zh-CN"/>
    </w:rPr>
  </w:style>
  <w:style w:type="paragraph" w:styleId="17">
    <w:name w:val="toc 8"/>
    <w:basedOn w:val="1"/>
    <w:next w:val="1"/>
    <w:semiHidden/>
    <w:qFormat/>
    <w:uiPriority w:val="0"/>
    <w:pPr>
      <w:tabs>
        <w:tab w:val="right" w:leader="dot" w:pos="9241"/>
      </w:tabs>
      <w:ind w:firstLine="607" w:firstLineChars="600"/>
      <w:jc w:val="left"/>
    </w:pPr>
    <w:rPr>
      <w:rFonts w:ascii="宋体"/>
      <w:szCs w:val="21"/>
    </w:rPr>
  </w:style>
  <w:style w:type="paragraph" w:styleId="18">
    <w:name w:val="index 3"/>
    <w:basedOn w:val="1"/>
    <w:next w:val="1"/>
    <w:qFormat/>
    <w:uiPriority w:val="0"/>
    <w:pPr>
      <w:ind w:left="630" w:hanging="210"/>
      <w:jc w:val="left"/>
    </w:pPr>
    <w:rPr>
      <w:sz w:val="20"/>
      <w:szCs w:val="20"/>
    </w:rPr>
  </w:style>
  <w:style w:type="paragraph" w:styleId="19">
    <w:name w:val="Date"/>
    <w:basedOn w:val="1"/>
    <w:next w:val="1"/>
    <w:link w:val="65"/>
    <w:qFormat/>
    <w:uiPriority w:val="99"/>
    <w:pPr>
      <w:ind w:left="100" w:leftChars="2500"/>
    </w:pPr>
    <w:rPr>
      <w:lang w:val="zh-CN" w:eastAsia="zh-CN"/>
    </w:rPr>
  </w:style>
  <w:style w:type="paragraph" w:styleId="20">
    <w:name w:val="endnote text"/>
    <w:basedOn w:val="1"/>
    <w:link w:val="48"/>
    <w:semiHidden/>
    <w:qFormat/>
    <w:uiPriority w:val="99"/>
    <w:pPr>
      <w:snapToGrid w:val="0"/>
      <w:jc w:val="left"/>
    </w:pPr>
    <w:rPr>
      <w:lang w:val="zh-CN" w:eastAsia="zh-CN"/>
    </w:rPr>
  </w:style>
  <w:style w:type="paragraph" w:styleId="21">
    <w:name w:val="Balloon Text"/>
    <w:basedOn w:val="1"/>
    <w:link w:val="74"/>
    <w:qFormat/>
    <w:uiPriority w:val="0"/>
    <w:rPr>
      <w:sz w:val="18"/>
      <w:szCs w:val="18"/>
      <w:lang w:val="zh-CN" w:eastAsia="zh-CN"/>
    </w:rPr>
  </w:style>
  <w:style w:type="paragraph" w:styleId="22">
    <w:name w:val="footer"/>
    <w:basedOn w:val="1"/>
    <w:link w:val="63"/>
    <w:qFormat/>
    <w:uiPriority w:val="99"/>
    <w:pPr>
      <w:snapToGrid w:val="0"/>
      <w:ind w:right="210" w:rightChars="100"/>
      <w:jc w:val="right"/>
    </w:pPr>
    <w:rPr>
      <w:sz w:val="18"/>
      <w:szCs w:val="18"/>
      <w:lang w:val="zh-CN" w:eastAsia="zh-CN"/>
    </w:rPr>
  </w:style>
  <w:style w:type="paragraph" w:styleId="23">
    <w:name w:val="header"/>
    <w:basedOn w:val="1"/>
    <w:link w:val="62"/>
    <w:qFormat/>
    <w:uiPriority w:val="99"/>
    <w:pPr>
      <w:snapToGrid w:val="0"/>
      <w:jc w:val="left"/>
    </w:pPr>
    <w:rPr>
      <w:sz w:val="18"/>
      <w:szCs w:val="18"/>
      <w:lang w:val="zh-CN" w:eastAsia="zh-CN"/>
    </w:rPr>
  </w:style>
  <w:style w:type="paragraph" w:styleId="24">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5">
    <w:name w:val="toc 4"/>
    <w:basedOn w:val="1"/>
    <w:next w:val="1"/>
    <w:semiHidden/>
    <w:qFormat/>
    <w:uiPriority w:val="0"/>
    <w:pPr>
      <w:tabs>
        <w:tab w:val="right" w:leader="dot" w:pos="9241"/>
      </w:tabs>
      <w:ind w:firstLine="198" w:firstLineChars="200"/>
      <w:jc w:val="left"/>
    </w:pPr>
    <w:rPr>
      <w:rFonts w:ascii="宋体"/>
      <w:szCs w:val="21"/>
    </w:rPr>
  </w:style>
  <w:style w:type="paragraph" w:styleId="26">
    <w:name w:val="index heading"/>
    <w:basedOn w:val="1"/>
    <w:next w:val="27"/>
    <w:qFormat/>
    <w:uiPriority w:val="0"/>
    <w:pPr>
      <w:spacing w:before="120" w:after="120"/>
      <w:jc w:val="center"/>
    </w:pPr>
    <w:rPr>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75"/>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styleId="29">
    <w:name w:val="footnote text"/>
    <w:basedOn w:val="1"/>
    <w:link w:val="72"/>
    <w:qFormat/>
    <w:uiPriority w:val="0"/>
    <w:pPr>
      <w:numPr>
        <w:ilvl w:val="0"/>
        <w:numId w:val="1"/>
      </w:numPr>
      <w:snapToGrid w:val="0"/>
      <w:jc w:val="left"/>
    </w:pPr>
    <w:rPr>
      <w:rFonts w:ascii="宋体"/>
      <w:sz w:val="18"/>
      <w:szCs w:val="18"/>
      <w:lang w:val="zh-CN" w:eastAsia="zh-CN"/>
    </w:rPr>
  </w:style>
  <w:style w:type="paragraph" w:styleId="30">
    <w:name w:val="toc 6"/>
    <w:basedOn w:val="1"/>
    <w:next w:val="1"/>
    <w:semiHidden/>
    <w:qFormat/>
    <w:uiPriority w:val="0"/>
    <w:pPr>
      <w:tabs>
        <w:tab w:val="right" w:leader="dot" w:pos="9241"/>
      </w:tabs>
      <w:ind w:firstLine="403" w:firstLineChars="400"/>
      <w:jc w:val="left"/>
    </w:pPr>
    <w:rPr>
      <w:rFonts w:ascii="宋体"/>
      <w:szCs w:val="21"/>
    </w:rPr>
  </w:style>
  <w:style w:type="paragraph" w:styleId="31">
    <w:name w:val="index 7"/>
    <w:basedOn w:val="1"/>
    <w:next w:val="1"/>
    <w:qFormat/>
    <w:uiPriority w:val="0"/>
    <w:pPr>
      <w:ind w:left="1470" w:hanging="210"/>
      <w:jc w:val="left"/>
    </w:pPr>
    <w:rPr>
      <w:sz w:val="20"/>
      <w:szCs w:val="20"/>
    </w:rPr>
  </w:style>
  <w:style w:type="paragraph" w:styleId="32">
    <w:name w:val="index 9"/>
    <w:basedOn w:val="1"/>
    <w:next w:val="1"/>
    <w:qFormat/>
    <w:uiPriority w:val="0"/>
    <w:pPr>
      <w:ind w:left="1890" w:hanging="210"/>
      <w:jc w:val="left"/>
    </w:pPr>
    <w:rPr>
      <w:sz w:val="20"/>
      <w:szCs w:val="20"/>
    </w:rPr>
  </w:style>
  <w:style w:type="paragraph" w:styleId="33">
    <w:name w:val="toc 2"/>
    <w:basedOn w:val="1"/>
    <w:next w:val="1"/>
    <w:qFormat/>
    <w:uiPriority w:val="39"/>
    <w:pPr>
      <w:tabs>
        <w:tab w:val="right" w:leader="dot" w:pos="9241"/>
      </w:tabs>
    </w:pPr>
    <w:rPr>
      <w:rFonts w:ascii="宋体"/>
      <w:szCs w:val="21"/>
    </w:rPr>
  </w:style>
  <w:style w:type="paragraph" w:styleId="34">
    <w:name w:val="toc 9"/>
    <w:basedOn w:val="1"/>
    <w:next w:val="1"/>
    <w:semiHidden/>
    <w:qFormat/>
    <w:uiPriority w:val="0"/>
    <w:pPr>
      <w:ind w:left="1470"/>
      <w:jc w:val="left"/>
    </w:pPr>
    <w:rPr>
      <w:sz w:val="20"/>
      <w:szCs w:val="20"/>
    </w:rPr>
  </w:style>
  <w:style w:type="paragraph" w:styleId="35">
    <w:name w:val="HTML Preformatted"/>
    <w:basedOn w:val="1"/>
    <w:link w:val="5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3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7">
    <w:name w:val="index 2"/>
    <w:basedOn w:val="1"/>
    <w:next w:val="1"/>
    <w:qFormat/>
    <w:uiPriority w:val="0"/>
    <w:pPr>
      <w:ind w:left="420" w:hanging="210"/>
      <w:jc w:val="left"/>
    </w:pPr>
    <w:rPr>
      <w:sz w:val="20"/>
      <w:szCs w:val="20"/>
    </w:rPr>
  </w:style>
  <w:style w:type="paragraph" w:styleId="38">
    <w:name w:val="annotation subject"/>
    <w:basedOn w:val="10"/>
    <w:next w:val="10"/>
    <w:link w:val="58"/>
    <w:unhideWhenUsed/>
    <w:qFormat/>
    <w:uiPriority w:val="99"/>
    <w:rPr>
      <w:b/>
      <w:bCs/>
      <w:szCs w:val="22"/>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99"/>
    <w:rPr>
      <w:vertAlign w:val="superscript"/>
    </w:rPr>
  </w:style>
  <w:style w:type="character" w:styleId="43">
    <w:name w:val="page number"/>
    <w:qFormat/>
    <w:uiPriority w:val="0"/>
    <w:rPr>
      <w:rFonts w:ascii="Times New Roman" w:hAnsi="Times New Roman" w:eastAsia="宋体"/>
      <w:sz w:val="18"/>
    </w:rPr>
  </w:style>
  <w:style w:type="character" w:styleId="44">
    <w:name w:val="Emphasis"/>
    <w:qFormat/>
    <w:uiPriority w:val="20"/>
    <w:rPr>
      <w:i/>
      <w:iCs/>
    </w:rPr>
  </w:style>
  <w:style w:type="character" w:styleId="45">
    <w:name w:val="Hyperlink"/>
    <w:qFormat/>
    <w:uiPriority w:val="99"/>
    <w:rPr>
      <w:color w:val="0000FF"/>
      <w:spacing w:val="0"/>
      <w:w w:val="100"/>
      <w:szCs w:val="21"/>
      <w:u w:val="single"/>
      <w:lang w:val="en-US" w:eastAsia="zh-CN"/>
    </w:rPr>
  </w:style>
  <w:style w:type="character" w:styleId="46">
    <w:name w:val="annotation reference"/>
    <w:qFormat/>
    <w:uiPriority w:val="99"/>
    <w:rPr>
      <w:sz w:val="21"/>
      <w:szCs w:val="21"/>
    </w:rPr>
  </w:style>
  <w:style w:type="character" w:styleId="47">
    <w:name w:val="footnote reference"/>
    <w:semiHidden/>
    <w:qFormat/>
    <w:uiPriority w:val="0"/>
    <w:rPr>
      <w:vertAlign w:val="superscript"/>
    </w:rPr>
  </w:style>
  <w:style w:type="character" w:customStyle="1" w:styleId="48">
    <w:name w:val="尾注文本 字符"/>
    <w:link w:val="20"/>
    <w:semiHidden/>
    <w:qFormat/>
    <w:uiPriority w:val="99"/>
    <w:rPr>
      <w:kern w:val="2"/>
      <w:sz w:val="21"/>
      <w:szCs w:val="24"/>
    </w:rPr>
  </w:style>
  <w:style w:type="character" w:customStyle="1" w:styleId="49">
    <w:name w:val="font11"/>
    <w:qFormat/>
    <w:uiPriority w:val="0"/>
    <w:rPr>
      <w:rFonts w:hint="eastAsia" w:ascii="宋体" w:hAnsi="宋体" w:eastAsia="宋体" w:cs="宋体"/>
      <w:color w:val="000000"/>
      <w:sz w:val="18"/>
      <w:szCs w:val="18"/>
      <w:u w:val="none"/>
    </w:rPr>
  </w:style>
  <w:style w:type="character" w:customStyle="1" w:styleId="50">
    <w:name w:val="已访问的超链接1"/>
    <w:qFormat/>
    <w:uiPriority w:val="0"/>
    <w:rPr>
      <w:color w:val="800080"/>
      <w:u w:val="single"/>
    </w:rPr>
  </w:style>
  <w:style w:type="character" w:customStyle="1" w:styleId="51">
    <w:name w:val="已访问的超链接2"/>
    <w:uiPriority w:val="0"/>
    <w:rPr>
      <w:color w:val="800080"/>
      <w:u w:val="single"/>
    </w:rPr>
  </w:style>
  <w:style w:type="character" w:customStyle="1" w:styleId="52">
    <w:name w:val="font51"/>
    <w:qFormat/>
    <w:uiPriority w:val="0"/>
    <w:rPr>
      <w:rFonts w:hint="eastAsia" w:ascii="宋体" w:hAnsi="宋体" w:eastAsia="宋体" w:cs="宋体"/>
      <w:i/>
      <w:color w:val="000000"/>
      <w:sz w:val="18"/>
      <w:szCs w:val="18"/>
      <w:u w:val="none"/>
    </w:rPr>
  </w:style>
  <w:style w:type="character" w:customStyle="1" w:styleId="53">
    <w:name w:val="文档结构图 字符"/>
    <w:link w:val="9"/>
    <w:semiHidden/>
    <w:qFormat/>
    <w:uiPriority w:val="0"/>
    <w:rPr>
      <w:kern w:val="2"/>
      <w:sz w:val="21"/>
      <w:szCs w:val="24"/>
      <w:shd w:val="clear" w:color="auto" w:fill="000080"/>
    </w:rPr>
  </w:style>
  <w:style w:type="character" w:customStyle="1" w:styleId="54">
    <w:name w:val="标题 1 字符"/>
    <w:link w:val="2"/>
    <w:qFormat/>
    <w:uiPriority w:val="0"/>
    <w:rPr>
      <w:b/>
      <w:bCs/>
      <w:kern w:val="44"/>
      <w:sz w:val="44"/>
      <w:szCs w:val="44"/>
    </w:rPr>
  </w:style>
  <w:style w:type="character" w:customStyle="1" w:styleId="55">
    <w:name w:val="正文文本 Char"/>
    <w:qFormat/>
    <w:uiPriority w:val="0"/>
    <w:rPr>
      <w:kern w:val="2"/>
      <w:sz w:val="21"/>
      <w:szCs w:val="24"/>
    </w:rPr>
  </w:style>
  <w:style w:type="character" w:customStyle="1" w:styleId="56">
    <w:name w:val="正文文本 字符"/>
    <w:link w:val="12"/>
    <w:qFormat/>
    <w:uiPriority w:val="0"/>
    <w:rPr>
      <w:rFonts w:ascii="Calibri" w:hAnsi="Calibri"/>
      <w:kern w:val="2"/>
      <w:sz w:val="21"/>
      <w:szCs w:val="24"/>
      <w:lang w:val="zh-CN"/>
    </w:rPr>
  </w:style>
  <w:style w:type="character" w:customStyle="1" w:styleId="57">
    <w:name w:val="font81"/>
    <w:qFormat/>
    <w:uiPriority w:val="0"/>
    <w:rPr>
      <w:rFonts w:hint="eastAsia" w:ascii="宋体" w:hAnsi="宋体" w:eastAsia="宋体" w:cs="宋体"/>
      <w:color w:val="000000"/>
      <w:sz w:val="18"/>
      <w:szCs w:val="18"/>
      <w:u w:val="none"/>
      <w:vertAlign w:val="superscript"/>
    </w:rPr>
  </w:style>
  <w:style w:type="character" w:customStyle="1" w:styleId="58">
    <w:name w:val="批注主题 字符"/>
    <w:link w:val="38"/>
    <w:qFormat/>
    <w:uiPriority w:val="99"/>
    <w:rPr>
      <w:rFonts w:ascii="Calibri" w:hAnsi="Calibri"/>
      <w:b/>
      <w:bCs/>
      <w:kern w:val="2"/>
      <w:sz w:val="21"/>
      <w:szCs w:val="22"/>
    </w:rPr>
  </w:style>
  <w:style w:type="character" w:customStyle="1" w:styleId="59">
    <w:name w:val="HTML 预设格式 字符"/>
    <w:link w:val="35"/>
    <w:qFormat/>
    <w:uiPriority w:val="99"/>
    <w:rPr>
      <w:rFonts w:ascii="宋体" w:hAnsi="宋体" w:cs="宋体"/>
      <w:sz w:val="24"/>
      <w:szCs w:val="24"/>
    </w:rPr>
  </w:style>
  <w:style w:type="character" w:customStyle="1" w:styleId="60">
    <w:name w:val="op_dict_text2"/>
    <w:qFormat/>
    <w:uiPriority w:val="0"/>
  </w:style>
  <w:style w:type="character" w:customStyle="1" w:styleId="61">
    <w:name w:val="纯文本 字符"/>
    <w:link w:val="16"/>
    <w:qFormat/>
    <w:uiPriority w:val="0"/>
    <w:rPr>
      <w:rFonts w:ascii="宋体" w:hAnsi="Courier New" w:cs="Courier New"/>
      <w:kern w:val="2"/>
      <w:sz w:val="21"/>
      <w:szCs w:val="21"/>
    </w:rPr>
  </w:style>
  <w:style w:type="character" w:customStyle="1" w:styleId="62">
    <w:name w:val="页眉 字符"/>
    <w:link w:val="23"/>
    <w:qFormat/>
    <w:uiPriority w:val="99"/>
    <w:rPr>
      <w:kern w:val="2"/>
      <w:sz w:val="18"/>
      <w:szCs w:val="18"/>
    </w:rPr>
  </w:style>
  <w:style w:type="character" w:customStyle="1" w:styleId="63">
    <w:name w:val="页脚 字符"/>
    <w:link w:val="22"/>
    <w:qFormat/>
    <w:uiPriority w:val="99"/>
    <w:rPr>
      <w:kern w:val="2"/>
      <w:sz w:val="18"/>
      <w:szCs w:val="18"/>
    </w:rPr>
  </w:style>
  <w:style w:type="character" w:customStyle="1" w:styleId="64">
    <w:name w:val="标题 2 字符"/>
    <w:link w:val="3"/>
    <w:qFormat/>
    <w:uiPriority w:val="9"/>
    <w:rPr>
      <w:rFonts w:ascii="Arial" w:hAnsi="Arial" w:eastAsia="黑体"/>
      <w:b/>
      <w:bCs/>
      <w:kern w:val="2"/>
      <w:sz w:val="32"/>
      <w:szCs w:val="32"/>
      <w:lang w:val="zh-CN"/>
    </w:rPr>
  </w:style>
  <w:style w:type="character" w:customStyle="1" w:styleId="65">
    <w:name w:val="日期 字符"/>
    <w:link w:val="19"/>
    <w:qFormat/>
    <w:uiPriority w:val="99"/>
    <w:rPr>
      <w:kern w:val="2"/>
      <w:sz w:val="21"/>
      <w:szCs w:val="24"/>
      <w:lang w:val="zh-CN"/>
    </w:rPr>
  </w:style>
  <w:style w:type="character" w:customStyle="1" w:styleId="66">
    <w:name w:val="一级条标题 Char"/>
    <w:link w:val="67"/>
    <w:qFormat/>
    <w:uiPriority w:val="0"/>
    <w:rPr>
      <w:rFonts w:ascii="黑体" w:eastAsia="黑体"/>
      <w:sz w:val="21"/>
      <w:szCs w:val="21"/>
      <w:lang w:val="en-US" w:eastAsia="zh-CN" w:bidi="ar-SA"/>
    </w:rPr>
  </w:style>
  <w:style w:type="paragraph" w:customStyle="1" w:styleId="67">
    <w:name w:val="一级条标题"/>
    <w:next w:val="1"/>
    <w:link w:val="66"/>
    <w:qFormat/>
    <w:uiPriority w:val="0"/>
    <w:pPr>
      <w:numPr>
        <w:ilvl w:val="1"/>
        <w:numId w:val="2"/>
      </w:numPr>
      <w:spacing w:before="156" w:beforeLines="50" w:after="156" w:afterLines="50"/>
      <w:outlineLvl w:val="2"/>
    </w:pPr>
    <w:rPr>
      <w:rFonts w:ascii="黑体" w:hAnsi="Calibri" w:eastAsia="黑体" w:cs="Times New Roman"/>
      <w:sz w:val="21"/>
      <w:szCs w:val="21"/>
      <w:lang w:val="en-US" w:eastAsia="zh-CN" w:bidi="ar-SA"/>
    </w:rPr>
  </w:style>
  <w:style w:type="character" w:customStyle="1" w:styleId="68">
    <w:name w:val="首示例 Char"/>
    <w:link w:val="69"/>
    <w:qFormat/>
    <w:uiPriority w:val="0"/>
    <w:rPr>
      <w:rFonts w:ascii="宋体" w:hAnsi="宋体"/>
      <w:kern w:val="2"/>
      <w:sz w:val="18"/>
      <w:szCs w:val="18"/>
      <w:lang w:val="en-US" w:eastAsia="zh-CN" w:bidi="ar-SA"/>
    </w:rPr>
  </w:style>
  <w:style w:type="paragraph" w:customStyle="1" w:styleId="69">
    <w:name w:val="首示例"/>
    <w:next w:val="28"/>
    <w:link w:val="68"/>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70">
    <w:name w:val="发布"/>
    <w:qFormat/>
    <w:uiPriority w:val="0"/>
    <w:rPr>
      <w:rFonts w:ascii="黑体" w:eastAsia="黑体"/>
      <w:spacing w:val="85"/>
      <w:w w:val="100"/>
      <w:position w:val="3"/>
      <w:sz w:val="28"/>
      <w:szCs w:val="28"/>
    </w:rPr>
  </w:style>
  <w:style w:type="character" w:customStyle="1" w:styleId="71">
    <w:name w:val="标题 3 字符"/>
    <w:link w:val="4"/>
    <w:semiHidden/>
    <w:qFormat/>
    <w:uiPriority w:val="9"/>
    <w:rPr>
      <w:b/>
      <w:bCs/>
      <w:kern w:val="2"/>
      <w:sz w:val="32"/>
      <w:szCs w:val="32"/>
      <w:lang w:val="zh-CN"/>
    </w:rPr>
  </w:style>
  <w:style w:type="character" w:customStyle="1" w:styleId="72">
    <w:name w:val="脚注文本 字符"/>
    <w:link w:val="29"/>
    <w:qFormat/>
    <w:uiPriority w:val="0"/>
    <w:rPr>
      <w:rFonts w:ascii="宋体"/>
      <w:kern w:val="2"/>
      <w:sz w:val="18"/>
      <w:szCs w:val="18"/>
    </w:rPr>
  </w:style>
  <w:style w:type="character" w:styleId="73">
    <w:name w:val="Placeholder Text"/>
    <w:qFormat/>
    <w:uiPriority w:val="99"/>
    <w:rPr>
      <w:color w:val="808080"/>
    </w:rPr>
  </w:style>
  <w:style w:type="character" w:customStyle="1" w:styleId="74">
    <w:name w:val="批注框文本 字符"/>
    <w:link w:val="21"/>
    <w:qFormat/>
    <w:uiPriority w:val="0"/>
    <w:rPr>
      <w:kern w:val="2"/>
      <w:sz w:val="18"/>
      <w:szCs w:val="18"/>
    </w:rPr>
  </w:style>
  <w:style w:type="character" w:customStyle="1" w:styleId="75">
    <w:name w:val="段 Char"/>
    <w:link w:val="28"/>
    <w:qFormat/>
    <w:uiPriority w:val="0"/>
    <w:rPr>
      <w:rFonts w:ascii="宋体"/>
      <w:sz w:val="21"/>
      <w:lang w:val="en-US" w:eastAsia="zh-CN" w:bidi="ar-SA"/>
    </w:rPr>
  </w:style>
  <w:style w:type="character" w:customStyle="1" w:styleId="76">
    <w:name w:val="附录公式 Char"/>
    <w:basedOn w:val="75"/>
    <w:link w:val="77"/>
    <w:qFormat/>
    <w:uiPriority w:val="0"/>
    <w:rPr>
      <w:rFonts w:ascii="宋体"/>
      <w:sz w:val="21"/>
      <w:lang w:val="en-US" w:eastAsia="zh-CN" w:bidi="ar-SA"/>
    </w:rPr>
  </w:style>
  <w:style w:type="paragraph" w:customStyle="1" w:styleId="77">
    <w:name w:val="附录公式"/>
    <w:basedOn w:val="28"/>
    <w:next w:val="28"/>
    <w:link w:val="76"/>
    <w:qFormat/>
    <w:uiPriority w:val="0"/>
  </w:style>
  <w:style w:type="character" w:customStyle="1" w:styleId="78">
    <w:name w:val="font71"/>
    <w:qFormat/>
    <w:uiPriority w:val="0"/>
    <w:rPr>
      <w:rFonts w:hint="eastAsia" w:ascii="宋体" w:hAnsi="宋体" w:eastAsia="宋体" w:cs="宋体"/>
      <w:color w:val="FF0000"/>
      <w:sz w:val="18"/>
      <w:szCs w:val="18"/>
      <w:u w:val="none"/>
    </w:rPr>
  </w:style>
  <w:style w:type="character" w:customStyle="1" w:styleId="79">
    <w:name w:val="apple-converted-space"/>
    <w:basedOn w:val="41"/>
    <w:qFormat/>
    <w:uiPriority w:val="0"/>
  </w:style>
  <w:style w:type="character" w:customStyle="1" w:styleId="80">
    <w:name w:val="批注文字 字符"/>
    <w:link w:val="10"/>
    <w:qFormat/>
    <w:uiPriority w:val="99"/>
    <w:rPr>
      <w:kern w:val="2"/>
      <w:sz w:val="21"/>
      <w:szCs w:val="24"/>
    </w:rPr>
  </w:style>
  <w:style w:type="paragraph" w:customStyle="1" w:styleId="81">
    <w:name w:val="Table Paragraph"/>
    <w:basedOn w:val="1"/>
    <w:qFormat/>
    <w:uiPriority w:val="1"/>
    <w:pPr>
      <w:jc w:val="left"/>
    </w:pPr>
    <w:rPr>
      <w:kern w:val="0"/>
      <w:sz w:val="22"/>
      <w:szCs w:val="22"/>
      <w:lang w:eastAsia="en-US"/>
    </w:rPr>
  </w:style>
  <w:style w:type="paragraph" w:customStyle="1" w:styleId="82">
    <w:name w:val="封面标准文稿类别2"/>
    <w:basedOn w:val="83"/>
    <w:qFormat/>
    <w:uiPriority w:val="0"/>
    <w:pPr>
      <w:framePr w:wrap="around" w:y="4469"/>
    </w:pPr>
  </w:style>
  <w:style w:type="paragraph" w:customStyle="1" w:styleId="83">
    <w:name w:val="封面标准文稿类别"/>
    <w:basedOn w:val="84"/>
    <w:qFormat/>
    <w:uiPriority w:val="0"/>
    <w:pPr>
      <w:framePr w:wrap="around"/>
      <w:spacing w:after="160" w:line="240" w:lineRule="auto"/>
    </w:pPr>
    <w:rPr>
      <w:sz w:val="24"/>
    </w:rPr>
  </w:style>
  <w:style w:type="paragraph" w:customStyle="1" w:styleId="84">
    <w:name w:val="封面一致性程度标识"/>
    <w:basedOn w:val="85"/>
    <w:qFormat/>
    <w:uiPriority w:val="0"/>
    <w:pPr>
      <w:framePr w:wrap="around"/>
      <w:spacing w:before="440"/>
    </w:pPr>
    <w:rPr>
      <w:rFonts w:ascii="宋体" w:eastAsia="宋体"/>
    </w:rPr>
  </w:style>
  <w:style w:type="paragraph" w:customStyle="1" w:styleId="85">
    <w:name w:val="封面标准英文名称"/>
    <w:basedOn w:val="86"/>
    <w:qFormat/>
    <w:uiPriority w:val="0"/>
    <w:pPr>
      <w:framePr w:wrap="around"/>
      <w:spacing w:before="370" w:line="400" w:lineRule="exact"/>
    </w:pPr>
    <w:rPr>
      <w:rFonts w:ascii="Times New Roman"/>
      <w:sz w:val="28"/>
      <w:szCs w:val="28"/>
    </w:rPr>
  </w:style>
  <w:style w:type="paragraph" w:customStyle="1" w:styleId="8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87">
    <w:name w:val="其他发布部门"/>
    <w:basedOn w:val="88"/>
    <w:qFormat/>
    <w:uiPriority w:val="0"/>
    <w:pPr>
      <w:framePr w:wrap="around" w:y="15310"/>
      <w:spacing w:line="0" w:lineRule="atLeast"/>
    </w:pPr>
    <w:rPr>
      <w:rFonts w:ascii="黑体" w:eastAsia="黑体"/>
      <w:b w:val="0"/>
    </w:rPr>
  </w:style>
  <w:style w:type="paragraph" w:customStyle="1" w:styleId="88">
    <w:name w:val="发布部门"/>
    <w:next w:val="28"/>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89">
    <w:name w:val="附录一级无"/>
    <w:basedOn w:val="90"/>
    <w:qFormat/>
    <w:uiPriority w:val="0"/>
    <w:pPr>
      <w:spacing w:before="0" w:beforeLines="0" w:after="0" w:afterLines="0"/>
    </w:pPr>
    <w:rPr>
      <w:rFonts w:ascii="宋体" w:eastAsia="宋体"/>
      <w:szCs w:val="21"/>
    </w:rPr>
  </w:style>
  <w:style w:type="paragraph" w:customStyle="1" w:styleId="90">
    <w:name w:val="附录一级条标题"/>
    <w:basedOn w:val="91"/>
    <w:next w:val="28"/>
    <w:qFormat/>
    <w:uiPriority w:val="0"/>
    <w:pPr>
      <w:numPr>
        <w:ilvl w:val="0"/>
        <w:numId w:val="0"/>
      </w:numPr>
      <w:autoSpaceDN w:val="0"/>
      <w:spacing w:before="50" w:beforeLines="50" w:after="50" w:afterLines="50"/>
      <w:outlineLvl w:val="2"/>
    </w:pPr>
  </w:style>
  <w:style w:type="paragraph" w:customStyle="1" w:styleId="91">
    <w:name w:val="附录章标题"/>
    <w:next w:val="28"/>
    <w:qFormat/>
    <w:uiPriority w:val="0"/>
    <w:pPr>
      <w:numPr>
        <w:ilvl w:val="1"/>
        <w:numId w:val="4"/>
      </w:numPr>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92">
    <w:name w:val="四级条标题"/>
    <w:basedOn w:val="93"/>
    <w:next w:val="28"/>
    <w:qFormat/>
    <w:uiPriority w:val="0"/>
    <w:pPr>
      <w:numPr>
        <w:ilvl w:val="4"/>
        <w:numId w:val="2"/>
      </w:numPr>
      <w:outlineLvl w:val="5"/>
    </w:pPr>
  </w:style>
  <w:style w:type="paragraph" w:customStyle="1" w:styleId="93">
    <w:name w:val="三级条标题"/>
    <w:basedOn w:val="94"/>
    <w:next w:val="28"/>
    <w:qFormat/>
    <w:uiPriority w:val="0"/>
    <w:pPr>
      <w:outlineLvl w:val="4"/>
    </w:pPr>
  </w:style>
  <w:style w:type="paragraph" w:customStyle="1" w:styleId="94">
    <w:name w:val="二级条标题"/>
    <w:basedOn w:val="67"/>
    <w:next w:val="28"/>
    <w:qFormat/>
    <w:uiPriority w:val="0"/>
    <w:pPr>
      <w:numPr>
        <w:ilvl w:val="0"/>
        <w:numId w:val="0"/>
      </w:numPr>
      <w:spacing w:before="50" w:after="50"/>
      <w:outlineLvl w:val="3"/>
    </w:pPr>
  </w:style>
  <w:style w:type="paragraph" w:customStyle="1" w:styleId="95">
    <w:name w:val="四级无"/>
    <w:basedOn w:val="92"/>
    <w:qFormat/>
    <w:uiPriority w:val="0"/>
    <w:pPr>
      <w:spacing w:before="0" w:beforeLines="0" w:after="0" w:afterLines="0"/>
    </w:pPr>
    <w:rPr>
      <w:rFonts w:ascii="宋体" w:eastAsia="宋体"/>
    </w:rPr>
  </w:style>
  <w:style w:type="paragraph" w:customStyle="1" w:styleId="96">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97">
    <w:name w:val="列出段落1"/>
    <w:basedOn w:val="1"/>
    <w:qFormat/>
    <w:uiPriority w:val="0"/>
    <w:pPr>
      <w:ind w:firstLine="420" w:firstLineChars="200"/>
    </w:pPr>
    <w:rPr>
      <w:rFonts w:eastAsia="仿宋_GB2312"/>
      <w:sz w:val="28"/>
      <w:szCs w:val="20"/>
    </w:rPr>
  </w:style>
  <w:style w:type="paragraph" w:customStyle="1" w:styleId="98">
    <w:name w:val="五级无"/>
    <w:basedOn w:val="99"/>
    <w:qFormat/>
    <w:uiPriority w:val="0"/>
    <w:pPr>
      <w:spacing w:before="0" w:beforeLines="0" w:after="0" w:afterLines="0"/>
    </w:pPr>
    <w:rPr>
      <w:rFonts w:ascii="宋体" w:eastAsia="宋体"/>
    </w:rPr>
  </w:style>
  <w:style w:type="paragraph" w:customStyle="1" w:styleId="99">
    <w:name w:val="五级条标题"/>
    <w:basedOn w:val="92"/>
    <w:next w:val="28"/>
    <w:qFormat/>
    <w:uiPriority w:val="0"/>
    <w:pPr>
      <w:numPr>
        <w:ilvl w:val="0"/>
        <w:numId w:val="0"/>
      </w:numPr>
      <w:outlineLvl w:val="6"/>
    </w:pPr>
  </w:style>
  <w:style w:type="paragraph" w:customStyle="1" w:styleId="100">
    <w:name w:val="封面正文"/>
    <w:qFormat/>
    <w:uiPriority w:val="0"/>
    <w:pPr>
      <w:jc w:val="both"/>
    </w:pPr>
    <w:rPr>
      <w:rFonts w:ascii="Calibri" w:hAnsi="Calibri" w:eastAsia="宋体" w:cs="Times New Roman"/>
      <w:lang w:val="en-US" w:eastAsia="zh-CN" w:bidi="ar-SA"/>
    </w:rPr>
  </w:style>
  <w:style w:type="paragraph" w:customStyle="1" w:styleId="101">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02">
    <w:name w:val="字母编号列项（一级）"/>
    <w:qFormat/>
    <w:uiPriority w:val="0"/>
    <w:pPr>
      <w:numPr>
        <w:ilvl w:val="0"/>
        <w:numId w:val="5"/>
      </w:numPr>
      <w:jc w:val="both"/>
    </w:pPr>
    <w:rPr>
      <w:rFonts w:ascii="宋体" w:hAnsi="Calibri" w:eastAsia="宋体" w:cs="Times New Roman"/>
      <w:sz w:val="21"/>
      <w:lang w:val="en-US" w:eastAsia="zh-CN" w:bidi="ar-SA"/>
    </w:rPr>
  </w:style>
  <w:style w:type="paragraph" w:customStyle="1" w:styleId="103">
    <w:name w:val="实施日期"/>
    <w:basedOn w:val="104"/>
    <w:qFormat/>
    <w:uiPriority w:val="0"/>
    <w:pPr>
      <w:framePr w:wrap="around" w:vAnchor="page" w:hAnchor="text"/>
      <w:jc w:val="right"/>
    </w:pPr>
  </w:style>
  <w:style w:type="paragraph" w:customStyle="1" w:styleId="104">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105">
    <w:name w:val="示例后文字"/>
    <w:basedOn w:val="28"/>
    <w:next w:val="28"/>
    <w:qFormat/>
    <w:uiPriority w:val="0"/>
    <w:pPr>
      <w:ind w:firstLine="360"/>
    </w:pPr>
    <w:rPr>
      <w:sz w:val="18"/>
    </w:rPr>
  </w:style>
  <w:style w:type="paragraph" w:customStyle="1" w:styleId="106">
    <w:name w:val="二级无"/>
    <w:basedOn w:val="94"/>
    <w:qFormat/>
    <w:uiPriority w:val="0"/>
    <w:pPr>
      <w:spacing w:before="0" w:beforeLines="0" w:after="0" w:afterLines="0"/>
    </w:pPr>
    <w:rPr>
      <w:rFonts w:ascii="宋体" w:eastAsia="宋体"/>
    </w:rPr>
  </w:style>
  <w:style w:type="paragraph" w:customStyle="1" w:styleId="107">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108">
    <w:name w:val="TOC 标题1"/>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paragraph" w:customStyle="1" w:styleId="109">
    <w:name w:val="修订1"/>
    <w:semiHidden/>
    <w:uiPriority w:val="99"/>
    <w:rPr>
      <w:rFonts w:ascii="Calibri" w:hAnsi="Calibri" w:eastAsia="宋体" w:cs="Times New Roman"/>
      <w:kern w:val="2"/>
      <w:sz w:val="21"/>
      <w:szCs w:val="22"/>
      <w:lang w:val="en-US" w:eastAsia="zh-CN" w:bidi="ar-SA"/>
    </w:rPr>
  </w:style>
  <w:style w:type="paragraph" w:customStyle="1" w:styleId="110">
    <w:name w:val="列项●（二级）"/>
    <w:qFormat/>
    <w:uiPriority w:val="0"/>
    <w:pPr>
      <w:numPr>
        <w:ilvl w:val="1"/>
        <w:numId w:val="6"/>
      </w:numPr>
      <w:tabs>
        <w:tab w:val="left" w:pos="840"/>
      </w:tabs>
      <w:jc w:val="both"/>
    </w:pPr>
    <w:rPr>
      <w:rFonts w:ascii="宋体" w:hAnsi="Calibri" w:eastAsia="宋体" w:cs="Times New Roman"/>
      <w:sz w:val="21"/>
      <w:lang w:val="en-US" w:eastAsia="zh-CN" w:bidi="ar-SA"/>
    </w:rPr>
  </w:style>
  <w:style w:type="paragraph" w:customStyle="1" w:styleId="111">
    <w:name w:val="封面标准文稿编辑信息2"/>
    <w:basedOn w:val="112"/>
    <w:qFormat/>
    <w:uiPriority w:val="0"/>
    <w:pPr>
      <w:framePr w:wrap="around" w:y="4469"/>
    </w:pPr>
  </w:style>
  <w:style w:type="paragraph" w:customStyle="1" w:styleId="112">
    <w:name w:val="封面标准文稿编辑信息"/>
    <w:basedOn w:val="83"/>
    <w:qFormat/>
    <w:uiPriority w:val="0"/>
    <w:pPr>
      <w:framePr w:wrap="around"/>
      <w:spacing w:before="180" w:line="180" w:lineRule="exact"/>
    </w:pPr>
    <w:rPr>
      <w:sz w:val="21"/>
    </w:rPr>
  </w:style>
  <w:style w:type="paragraph" w:customStyle="1" w:styleId="113">
    <w:name w:val="附录二级条标题"/>
    <w:basedOn w:val="1"/>
    <w:next w:val="28"/>
    <w:qFormat/>
    <w:uiPriority w:val="0"/>
    <w:pPr>
      <w:widowControl/>
      <w:numPr>
        <w:ilvl w:val="3"/>
        <w:numId w:val="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4">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115">
    <w:name w:val="附录四级条标题"/>
    <w:basedOn w:val="116"/>
    <w:next w:val="28"/>
    <w:qFormat/>
    <w:uiPriority w:val="0"/>
    <w:pPr>
      <w:numPr>
        <w:ilvl w:val="5"/>
      </w:numPr>
      <w:tabs>
        <w:tab w:val="left" w:pos="360"/>
      </w:tabs>
      <w:outlineLvl w:val="5"/>
    </w:pPr>
  </w:style>
  <w:style w:type="paragraph" w:customStyle="1" w:styleId="116">
    <w:name w:val="附录三级条标题"/>
    <w:basedOn w:val="113"/>
    <w:next w:val="28"/>
    <w:qFormat/>
    <w:uiPriority w:val="0"/>
    <w:pPr>
      <w:numPr>
        <w:ilvl w:val="0"/>
        <w:numId w:val="0"/>
      </w:numPr>
      <w:outlineLvl w:val="4"/>
    </w:pPr>
  </w:style>
  <w:style w:type="paragraph" w:customStyle="1" w:styleId="117">
    <w:name w:val="图表脚注说明"/>
    <w:basedOn w:val="1"/>
    <w:qFormat/>
    <w:uiPriority w:val="0"/>
    <w:pPr>
      <w:numPr>
        <w:ilvl w:val="0"/>
        <w:numId w:val="7"/>
      </w:numPr>
    </w:pPr>
    <w:rPr>
      <w:rFonts w:ascii="宋体"/>
      <w:sz w:val="18"/>
      <w:szCs w:val="18"/>
    </w:rPr>
  </w:style>
  <w:style w:type="paragraph" w:customStyle="1" w:styleId="118">
    <w:name w:val="参考文献"/>
    <w:basedOn w:val="1"/>
    <w:next w:val="28"/>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9">
    <w:name w:val="前言、引言标题"/>
    <w:next w:val="28"/>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120">
    <w:name w:val="正文公式编号制表符"/>
    <w:basedOn w:val="28"/>
    <w:next w:val="28"/>
    <w:qFormat/>
    <w:uiPriority w:val="0"/>
    <w:pPr>
      <w:ind w:firstLine="0" w:firstLineChars="0"/>
    </w:pPr>
  </w:style>
  <w:style w:type="paragraph" w:customStyle="1" w:styleId="121">
    <w:name w:val="附录图标题"/>
    <w:basedOn w:val="1"/>
    <w:next w:val="28"/>
    <w:qFormat/>
    <w:uiPriority w:val="0"/>
    <w:pPr>
      <w:numPr>
        <w:ilvl w:val="1"/>
        <w:numId w:val="8"/>
      </w:numPr>
      <w:tabs>
        <w:tab w:val="left" w:pos="363"/>
      </w:tabs>
      <w:spacing w:before="50" w:beforeLines="50" w:after="50" w:afterLines="50"/>
      <w:ind w:left="0" w:firstLine="0"/>
      <w:jc w:val="center"/>
    </w:pPr>
    <w:rPr>
      <w:rFonts w:ascii="黑体" w:eastAsia="黑体"/>
      <w:szCs w:val="21"/>
    </w:rPr>
  </w:style>
  <w:style w:type="paragraph" w:customStyle="1" w:styleId="122">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123">
    <w:name w:val="附录二级无"/>
    <w:basedOn w:val="113"/>
    <w:qFormat/>
    <w:uiPriority w:val="0"/>
    <w:pPr>
      <w:tabs>
        <w:tab w:val="clear" w:pos="360"/>
      </w:tabs>
      <w:spacing w:before="0" w:beforeLines="0" w:after="0" w:afterLines="0"/>
    </w:pPr>
    <w:rPr>
      <w:rFonts w:ascii="宋体" w:eastAsia="宋体"/>
      <w:szCs w:val="21"/>
    </w:rPr>
  </w:style>
  <w:style w:type="paragraph" w:customStyle="1" w:styleId="124">
    <w:name w:val="正文表标题"/>
    <w:next w:val="28"/>
    <w:qFormat/>
    <w:uiPriority w:val="0"/>
    <w:pPr>
      <w:numPr>
        <w:ilvl w:val="0"/>
        <w:numId w:val="9"/>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125">
    <w:name w:val="编号列项（三级）"/>
    <w:uiPriority w:val="0"/>
    <w:rPr>
      <w:rFonts w:ascii="宋体" w:hAnsi="Calibri" w:eastAsia="宋体" w:cs="Times New Roman"/>
      <w:sz w:val="21"/>
      <w:lang w:val="en-US" w:eastAsia="zh-CN" w:bidi="ar-SA"/>
    </w:rPr>
  </w:style>
  <w:style w:type="paragraph" w:customStyle="1" w:styleId="126">
    <w:name w:val="其他标准标志"/>
    <w:basedOn w:val="127"/>
    <w:qFormat/>
    <w:uiPriority w:val="0"/>
    <w:pPr>
      <w:framePr w:w="6101" w:wrap="around" w:vAnchor="page" w:hAnchor="page" w:x="4673" w:y="942"/>
    </w:pPr>
    <w:rPr>
      <w:w w:val="130"/>
    </w:rPr>
  </w:style>
  <w:style w:type="paragraph" w:customStyle="1" w:styleId="1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128">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9">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30">
    <w:name w:val="正文图标题"/>
    <w:next w:val="28"/>
    <w:qFormat/>
    <w:uiPriority w:val="0"/>
    <w:pPr>
      <w:numPr>
        <w:ilvl w:val="0"/>
        <w:numId w:val="10"/>
      </w:numPr>
      <w:spacing w:before="156" w:beforeLines="50" w:after="156" w:afterLines="50"/>
      <w:jc w:val="center"/>
    </w:pPr>
    <w:rPr>
      <w:rFonts w:ascii="黑体" w:hAnsi="Calibri" w:eastAsia="黑体" w:cs="Times New Roman"/>
      <w:sz w:val="21"/>
      <w:lang w:val="en-US" w:eastAsia="zh-CN" w:bidi="ar-SA"/>
    </w:rPr>
  </w:style>
  <w:style w:type="paragraph" w:customStyle="1" w:styleId="131">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132">
    <w:name w:val="章标题"/>
    <w:next w:val="28"/>
    <w:qFormat/>
    <w:uiPriority w:val="0"/>
    <w:pPr>
      <w:numPr>
        <w:ilvl w:val="0"/>
        <w:numId w:val="2"/>
      </w:num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实施日期"/>
    <w:basedOn w:val="103"/>
    <w:qFormat/>
    <w:uiPriority w:val="0"/>
    <w:pPr>
      <w:framePr w:wrap="around"/>
    </w:pPr>
  </w:style>
  <w:style w:type="paragraph" w:customStyle="1" w:styleId="135">
    <w:name w:val="附录四级无"/>
    <w:basedOn w:val="115"/>
    <w:qFormat/>
    <w:uiPriority w:val="0"/>
    <w:pPr>
      <w:tabs>
        <w:tab w:val="clear" w:pos="360"/>
      </w:tabs>
      <w:spacing w:before="0" w:beforeLines="0" w:after="0" w:afterLines="0"/>
    </w:pPr>
    <w:rPr>
      <w:rFonts w:ascii="宋体" w:eastAsia="宋体"/>
      <w:szCs w:val="21"/>
    </w:rPr>
  </w:style>
  <w:style w:type="paragraph" w:customStyle="1" w:styleId="136">
    <w:name w:val="注×："/>
    <w:uiPriority w:val="0"/>
    <w:pPr>
      <w:widowControl w:val="0"/>
      <w:numPr>
        <w:ilvl w:val="0"/>
        <w:numId w:val="11"/>
      </w:numPr>
      <w:autoSpaceDE w:val="0"/>
      <w:autoSpaceDN w:val="0"/>
      <w:jc w:val="both"/>
    </w:pPr>
    <w:rPr>
      <w:rFonts w:ascii="宋体" w:hAnsi="Calibri" w:eastAsia="宋体" w:cs="Times New Roman"/>
      <w:sz w:val="18"/>
      <w:szCs w:val="18"/>
      <w:lang w:val="en-US" w:eastAsia="zh-CN" w:bidi="ar-SA"/>
    </w:rPr>
  </w:style>
  <w:style w:type="paragraph" w:customStyle="1" w:styleId="137">
    <w:name w:val="注：（正文）"/>
    <w:basedOn w:val="138"/>
    <w:next w:val="28"/>
    <w:qFormat/>
    <w:uiPriority w:val="0"/>
    <w:pPr>
      <w:numPr>
        <w:ilvl w:val="0"/>
        <w:numId w:val="12"/>
      </w:numPr>
    </w:pPr>
  </w:style>
  <w:style w:type="paragraph" w:customStyle="1" w:styleId="138">
    <w:name w:val="注："/>
    <w:next w:val="28"/>
    <w:uiPriority w:val="0"/>
    <w:pPr>
      <w:widowControl w:val="0"/>
      <w:numPr>
        <w:ilvl w:val="0"/>
        <w:numId w:val="13"/>
      </w:numPr>
      <w:autoSpaceDE w:val="0"/>
      <w:autoSpaceDN w:val="0"/>
      <w:jc w:val="both"/>
    </w:pPr>
    <w:rPr>
      <w:rFonts w:ascii="宋体" w:hAnsi="Calibri" w:eastAsia="宋体" w:cs="Times New Roman"/>
      <w:sz w:val="18"/>
      <w:szCs w:val="18"/>
      <w:lang w:val="en-US" w:eastAsia="zh-CN" w:bidi="ar-SA"/>
    </w:rPr>
  </w:style>
  <w:style w:type="paragraph" w:customStyle="1" w:styleId="139">
    <w:name w:val="附录数字编号列项（二级）"/>
    <w:qFormat/>
    <w:uiPriority w:val="0"/>
    <w:pPr>
      <w:numPr>
        <w:ilvl w:val="1"/>
        <w:numId w:val="14"/>
      </w:numPr>
    </w:pPr>
    <w:rPr>
      <w:rFonts w:ascii="宋体" w:hAnsi="Calibri" w:eastAsia="宋体" w:cs="Times New Roman"/>
      <w:sz w:val="21"/>
      <w:lang w:val="en-US" w:eastAsia="zh-CN" w:bidi="ar-SA"/>
    </w:rPr>
  </w:style>
  <w:style w:type="paragraph" w:customStyle="1" w:styleId="14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141">
    <w:name w:val="注×：（正文）"/>
    <w:qFormat/>
    <w:uiPriority w:val="0"/>
    <w:pPr>
      <w:numPr>
        <w:ilvl w:val="0"/>
        <w:numId w:val="15"/>
      </w:numPr>
      <w:jc w:val="both"/>
    </w:pPr>
    <w:rPr>
      <w:rFonts w:ascii="宋体" w:hAnsi="Calibri" w:eastAsia="宋体" w:cs="Times New Roman"/>
      <w:sz w:val="18"/>
      <w:szCs w:val="18"/>
      <w:lang w:val="en-US" w:eastAsia="zh-CN" w:bidi="ar-SA"/>
    </w:rPr>
  </w:style>
  <w:style w:type="paragraph" w:customStyle="1" w:styleId="142">
    <w:name w:val="封面标准名称2"/>
    <w:basedOn w:val="86"/>
    <w:qFormat/>
    <w:uiPriority w:val="0"/>
    <w:pPr>
      <w:framePr w:wrap="around" w:y="4469"/>
      <w:spacing w:before="630" w:beforeLines="630"/>
    </w:pPr>
  </w:style>
  <w:style w:type="paragraph" w:customStyle="1" w:styleId="143">
    <w:name w:val="图的脚注"/>
    <w:next w:val="28"/>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144">
    <w:name w:val="附录三级无"/>
    <w:basedOn w:val="116"/>
    <w:qFormat/>
    <w:uiPriority w:val="0"/>
    <w:pPr>
      <w:tabs>
        <w:tab w:val="clear" w:pos="360"/>
      </w:tabs>
      <w:spacing w:before="0" w:beforeLines="0" w:after="0" w:afterLines="0"/>
    </w:pPr>
    <w:rPr>
      <w:rFonts w:ascii="宋体" w:eastAsia="宋体"/>
      <w:szCs w:val="21"/>
    </w:rPr>
  </w:style>
  <w:style w:type="paragraph" w:customStyle="1" w:styleId="145">
    <w:name w:val="图标脚注说明"/>
    <w:basedOn w:val="28"/>
    <w:qFormat/>
    <w:uiPriority w:val="0"/>
    <w:pPr>
      <w:ind w:left="840" w:hanging="420" w:firstLineChars="0"/>
    </w:pPr>
    <w:rPr>
      <w:sz w:val="18"/>
      <w:szCs w:val="18"/>
    </w:rPr>
  </w:style>
  <w:style w:type="paragraph" w:customStyle="1" w:styleId="14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147">
    <w:name w:val="示例"/>
    <w:next w:val="148"/>
    <w:qFormat/>
    <w:uiPriority w:val="0"/>
    <w:pPr>
      <w:widowControl w:val="0"/>
      <w:numPr>
        <w:ilvl w:val="0"/>
        <w:numId w:val="16"/>
      </w:numPr>
      <w:jc w:val="both"/>
    </w:pPr>
    <w:rPr>
      <w:rFonts w:ascii="宋体" w:hAnsi="Calibri" w:eastAsia="宋体" w:cs="Times New Roman"/>
      <w:sz w:val="18"/>
      <w:szCs w:val="18"/>
      <w:lang w:val="en-US" w:eastAsia="zh-CN" w:bidi="ar-SA"/>
    </w:rPr>
  </w:style>
  <w:style w:type="paragraph" w:customStyle="1" w:styleId="148">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149">
    <w:name w:val="标准书眉_偶数页"/>
    <w:basedOn w:val="122"/>
    <w:next w:val="1"/>
    <w:qFormat/>
    <w:uiPriority w:val="0"/>
    <w:pPr>
      <w:jc w:val="left"/>
    </w:pPr>
  </w:style>
  <w:style w:type="paragraph" w:customStyle="1" w:styleId="150">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1">
    <w:name w:val="附录表标题"/>
    <w:basedOn w:val="1"/>
    <w:next w:val="28"/>
    <w:qFormat/>
    <w:uiPriority w:val="0"/>
    <w:pPr>
      <w:numPr>
        <w:ilvl w:val="1"/>
        <w:numId w:val="17"/>
      </w:numPr>
      <w:spacing w:before="50" w:beforeLines="50" w:after="50" w:afterLines="50"/>
      <w:jc w:val="center"/>
    </w:pPr>
    <w:rPr>
      <w:rFonts w:ascii="黑体" w:eastAsia="黑体"/>
      <w:szCs w:val="21"/>
    </w:rPr>
  </w:style>
  <w:style w:type="paragraph" w:customStyle="1" w:styleId="152">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53">
    <w:name w:val="封面标准英文名称2"/>
    <w:basedOn w:val="85"/>
    <w:qFormat/>
    <w:uiPriority w:val="0"/>
    <w:pPr>
      <w:framePr w:wrap="around" w:y="4469"/>
    </w:pPr>
  </w:style>
  <w:style w:type="paragraph" w:customStyle="1" w:styleId="154">
    <w:name w:val="Char Char Char Char Char Char1 Char Char Char"/>
    <w:basedOn w:val="1"/>
    <w:qFormat/>
    <w:uiPriority w:val="0"/>
    <w:pPr>
      <w:autoSpaceDE w:val="0"/>
      <w:autoSpaceDN w:val="0"/>
      <w:adjustRightInd w:val="0"/>
      <w:jc w:val="left"/>
      <w:textAlignment w:val="baseline"/>
    </w:pPr>
    <w:rPr>
      <w:rFonts w:eastAsia="方正仿宋简体"/>
      <w:sz w:val="32"/>
      <w:szCs w:val="20"/>
    </w:rPr>
  </w:style>
  <w:style w:type="paragraph" w:customStyle="1" w:styleId="155">
    <w:name w:val="附录标题"/>
    <w:basedOn w:val="28"/>
    <w:next w:val="28"/>
    <w:qFormat/>
    <w:uiPriority w:val="0"/>
    <w:pPr>
      <w:ind w:firstLine="0" w:firstLineChars="0"/>
      <w:jc w:val="center"/>
    </w:pPr>
    <w:rPr>
      <w:rFonts w:ascii="黑体" w:eastAsia="黑体"/>
    </w:rPr>
  </w:style>
  <w:style w:type="paragraph" w:customStyle="1" w:styleId="156">
    <w:name w:val="附录字母编号列项（一级）"/>
    <w:qFormat/>
    <w:uiPriority w:val="0"/>
    <w:pPr>
      <w:numPr>
        <w:ilvl w:val="0"/>
        <w:numId w:val="14"/>
      </w:numPr>
    </w:pPr>
    <w:rPr>
      <w:rFonts w:ascii="宋体" w:hAnsi="Calibri" w:eastAsia="宋体" w:cs="Times New Roman"/>
      <w:sz w:val="21"/>
      <w:lang w:val="en-US" w:eastAsia="zh-CN" w:bidi="ar-SA"/>
    </w:rPr>
  </w:style>
  <w:style w:type="paragraph" w:customStyle="1" w:styleId="157">
    <w:name w:val="一级无"/>
    <w:basedOn w:val="67"/>
    <w:qFormat/>
    <w:uiPriority w:val="0"/>
    <w:pPr>
      <w:spacing w:before="0" w:beforeLines="0" w:after="0" w:afterLines="0"/>
    </w:pPr>
    <w:rPr>
      <w:rFonts w:ascii="宋体" w:eastAsia="宋体"/>
    </w:rPr>
  </w:style>
  <w:style w:type="paragraph" w:customStyle="1" w:styleId="158">
    <w:name w:val="附录表标号"/>
    <w:basedOn w:val="1"/>
    <w:next w:val="28"/>
    <w:qFormat/>
    <w:uiPriority w:val="0"/>
    <w:pPr>
      <w:numPr>
        <w:ilvl w:val="0"/>
        <w:numId w:val="17"/>
      </w:numPr>
      <w:tabs>
        <w:tab w:val="clear" w:pos="0"/>
      </w:tabs>
      <w:spacing w:line="14" w:lineRule="exact"/>
      <w:ind w:left="811" w:hanging="448"/>
      <w:jc w:val="center"/>
      <w:outlineLvl w:val="0"/>
    </w:pPr>
    <w:rPr>
      <w:color w:val="FFFFFF"/>
    </w:rPr>
  </w:style>
  <w:style w:type="paragraph" w:customStyle="1" w:styleId="15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0">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161">
    <w:name w:val="示例×："/>
    <w:basedOn w:val="132"/>
    <w:qFormat/>
    <w:uiPriority w:val="0"/>
    <w:pPr>
      <w:numPr>
        <w:numId w:val="18"/>
      </w:numPr>
      <w:spacing w:before="0" w:beforeLines="0" w:after="0" w:afterLines="0"/>
      <w:outlineLvl w:val="9"/>
    </w:pPr>
    <w:rPr>
      <w:rFonts w:ascii="宋体" w:eastAsia="宋体"/>
      <w:sz w:val="18"/>
      <w:szCs w:val="18"/>
    </w:rPr>
  </w:style>
  <w:style w:type="paragraph" w:styleId="162">
    <w:name w:val="List Paragraph"/>
    <w:basedOn w:val="1"/>
    <w:qFormat/>
    <w:uiPriority w:val="34"/>
    <w:pPr>
      <w:ind w:firstLine="420" w:firstLineChars="200"/>
    </w:pPr>
    <w:rPr>
      <w:szCs w:val="22"/>
    </w:rPr>
  </w:style>
  <w:style w:type="paragraph" w:customStyle="1" w:styleId="163">
    <w:name w:val="其他发布日期"/>
    <w:basedOn w:val="104"/>
    <w:qFormat/>
    <w:uiPriority w:val="0"/>
    <w:pPr>
      <w:framePr w:wrap="around" w:vAnchor="page" w:hAnchor="text" w:x="1419"/>
    </w:pPr>
  </w:style>
  <w:style w:type="paragraph" w:customStyle="1" w:styleId="164">
    <w:name w:val="附录五级无"/>
    <w:basedOn w:val="165"/>
    <w:qFormat/>
    <w:uiPriority w:val="0"/>
    <w:pPr>
      <w:tabs>
        <w:tab w:val="left" w:pos="360"/>
      </w:tabs>
      <w:spacing w:before="0" w:beforeLines="0" w:after="0" w:afterLines="0"/>
    </w:pPr>
    <w:rPr>
      <w:rFonts w:ascii="宋体" w:eastAsia="宋体"/>
      <w:szCs w:val="21"/>
    </w:rPr>
  </w:style>
  <w:style w:type="paragraph" w:customStyle="1" w:styleId="165">
    <w:name w:val="附录五级条标题"/>
    <w:basedOn w:val="115"/>
    <w:next w:val="28"/>
    <w:qFormat/>
    <w:uiPriority w:val="0"/>
    <w:pPr>
      <w:numPr>
        <w:ilvl w:val="6"/>
      </w:numPr>
      <w:outlineLvl w:val="6"/>
    </w:pPr>
  </w:style>
  <w:style w:type="paragraph" w:customStyle="1" w:styleId="166">
    <w:name w:val="标准书眉一"/>
    <w:qFormat/>
    <w:uiPriority w:val="0"/>
    <w:pPr>
      <w:jc w:val="both"/>
    </w:pPr>
    <w:rPr>
      <w:rFonts w:ascii="Calibri" w:hAnsi="Calibri" w:eastAsia="宋体" w:cs="Times New Roman"/>
      <w:lang w:val="en-US" w:eastAsia="zh-CN" w:bidi="ar-SA"/>
    </w:rPr>
  </w:style>
  <w:style w:type="paragraph" w:customStyle="1" w:styleId="167">
    <w:name w:val="数字编号列项（二级）"/>
    <w:qFormat/>
    <w:uiPriority w:val="0"/>
    <w:pPr>
      <w:numPr>
        <w:ilvl w:val="1"/>
        <w:numId w:val="5"/>
      </w:numPr>
      <w:jc w:val="both"/>
    </w:pPr>
    <w:rPr>
      <w:rFonts w:ascii="宋体" w:hAnsi="Calibri" w:eastAsia="宋体" w:cs="Times New Roman"/>
      <w:sz w:val="21"/>
      <w:lang w:val="en-US" w:eastAsia="zh-CN" w:bidi="ar-SA"/>
    </w:rPr>
  </w:style>
  <w:style w:type="paragraph" w:customStyle="1" w:styleId="168">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9">
    <w:name w:val="封面一致性程度标识2"/>
    <w:basedOn w:val="84"/>
    <w:qFormat/>
    <w:uiPriority w:val="0"/>
    <w:pPr>
      <w:framePr w:wrap="around" w:y="4469"/>
    </w:pPr>
  </w:style>
  <w:style w:type="paragraph" w:customStyle="1" w:styleId="170">
    <w:name w:val="列出段落2"/>
    <w:basedOn w:val="1"/>
    <w:qFormat/>
    <w:uiPriority w:val="0"/>
    <w:pPr>
      <w:ind w:firstLine="420" w:firstLineChars="200"/>
    </w:pPr>
    <w:rPr>
      <w:rFonts w:eastAsia="仿宋_GB2312"/>
      <w:sz w:val="28"/>
      <w:szCs w:val="28"/>
    </w:rPr>
  </w:style>
  <w:style w:type="paragraph" w:customStyle="1" w:styleId="171">
    <w:name w:val="三级无"/>
    <w:basedOn w:val="93"/>
    <w:qFormat/>
    <w:uiPriority w:val="0"/>
    <w:pPr>
      <w:spacing w:before="0" w:beforeLines="0" w:after="0" w:afterLines="0"/>
    </w:pPr>
    <w:rPr>
      <w:rFonts w:ascii="宋体" w:eastAsia="宋体"/>
    </w:rPr>
  </w:style>
  <w:style w:type="paragraph" w:customStyle="1" w:styleId="172">
    <w:name w:val="列项◆（三级）"/>
    <w:basedOn w:val="1"/>
    <w:qFormat/>
    <w:uiPriority w:val="0"/>
    <w:pPr>
      <w:numPr>
        <w:ilvl w:val="2"/>
        <w:numId w:val="6"/>
      </w:numPr>
    </w:pPr>
    <w:rPr>
      <w:rFonts w:ascii="宋体"/>
      <w:szCs w:val="21"/>
    </w:rPr>
  </w:style>
  <w:style w:type="paragraph" w:customStyle="1" w:styleId="173">
    <w:name w:val="列项——（一级）"/>
    <w:qFormat/>
    <w:uiPriority w:val="0"/>
    <w:pPr>
      <w:widowControl w:val="0"/>
      <w:numPr>
        <w:ilvl w:val="0"/>
        <w:numId w:val="6"/>
      </w:numPr>
      <w:jc w:val="both"/>
    </w:pPr>
    <w:rPr>
      <w:rFonts w:ascii="宋体" w:hAnsi="Calibri" w:eastAsia="宋体" w:cs="Times New Roman"/>
      <w:sz w:val="21"/>
      <w:lang w:val="en-US" w:eastAsia="zh-CN" w:bidi="ar-SA"/>
    </w:rPr>
  </w:style>
  <w:style w:type="paragraph" w:customStyle="1" w:styleId="174">
    <w:name w:val="附录标识"/>
    <w:basedOn w:val="1"/>
    <w:next w:val="28"/>
    <w:qFormat/>
    <w:uiPriority w:val="0"/>
    <w:pPr>
      <w:keepNext/>
      <w:widowControl/>
      <w:numPr>
        <w:ilvl w:val="0"/>
        <w:numId w:val="4"/>
      </w:numPr>
      <w:shd w:val="clear" w:color="FFFFFF" w:fill="FFFFFF"/>
      <w:tabs>
        <w:tab w:val="left" w:pos="6405"/>
      </w:tabs>
      <w:spacing w:before="640" w:after="280"/>
      <w:jc w:val="center"/>
      <w:outlineLvl w:val="0"/>
    </w:pPr>
    <w:rPr>
      <w:rFonts w:ascii="黑体" w:eastAsia="黑体"/>
      <w:kern w:val="0"/>
      <w:szCs w:val="20"/>
    </w:rPr>
  </w:style>
  <w:style w:type="paragraph" w:customStyle="1" w:styleId="17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76">
    <w:name w:val="条文脚注"/>
    <w:basedOn w:val="29"/>
    <w:qFormat/>
    <w:uiPriority w:val="0"/>
    <w:pPr>
      <w:numPr>
        <w:numId w:val="0"/>
      </w:numPr>
      <w:jc w:val="both"/>
    </w:pPr>
  </w:style>
  <w:style w:type="paragraph" w:customStyle="1" w:styleId="17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
    <w:name w:val="附录图标号"/>
    <w:basedOn w:val="1"/>
    <w:qFormat/>
    <w:uiPriority w:val="0"/>
    <w:pPr>
      <w:keepNext/>
      <w:pageBreakBefore/>
      <w:widowControl/>
      <w:numPr>
        <w:ilvl w:val="0"/>
        <w:numId w:val="8"/>
      </w:numPr>
      <w:spacing w:line="14" w:lineRule="exact"/>
      <w:ind w:left="0" w:firstLine="363"/>
      <w:jc w:val="center"/>
      <w:outlineLvl w:val="0"/>
    </w:pPr>
    <w:rPr>
      <w:color w:val="FFFFFF"/>
    </w:rPr>
  </w:style>
  <w:style w:type="paragraph" w:customStyle="1" w:styleId="17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80">
    <w:name w:val="Revision"/>
    <w:hidden/>
    <w:unhideWhenUsed/>
    <w:qFormat/>
    <w:uiPriority w:val="99"/>
    <w:rPr>
      <w:rFonts w:ascii="Calibri" w:hAnsi="Calibri"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E045D-F39E-4446-988A-BFD15E17131C}">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3713</Words>
  <Characters>4176</Characters>
  <Lines>35</Lines>
  <Paragraphs>9</Paragraphs>
  <TotalTime>0</TotalTime>
  <ScaleCrop>false</ScaleCrop>
  <LinksUpToDate>false</LinksUpToDate>
  <CharactersWithSpaces>4301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2020-09-21T06:14:00Z</dcterms:created>
  <dc:creator>CNIS</dc:creator>
  <cp:lastModifiedBy>stone</cp:lastModifiedBy>
  <cp:lastPrinted>2020-10-23T03:36:00Z</cp:lastPrinted>
  <dcterms:modified xsi:type="dcterms:W3CDTF">2023-10-15T06:45:21Z</dcterms:modified>
  <dc:title>标准名称</dc:title>
  <cp:revision>523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462599B63FF94E549EF32CFFE4420F41_12</vt:lpwstr>
  </property>
</Properties>
</file>